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sz w:val="84"/>
          <w:szCs w:val="84"/>
        </w:rPr>
      </w:pPr>
      <w:r>
        <w:rPr>
          <w:rFonts w:hint="eastAsia"/>
          <w:sz w:val="84"/>
          <w:szCs w:val="84"/>
        </w:rPr>
        <w:t xml:space="preserve">团体标准 </w:t>
      </w:r>
    </w:p>
    <w:p>
      <w:pPr>
        <w:pStyle w:val="55"/>
        <w:framePr w:wrap="around"/>
        <w:wordWrap w:val="0"/>
      </w:pPr>
      <w:r>
        <w:t>T/FSS XX-202</w:t>
      </w:r>
      <w:r>
        <w:rPr>
          <w:rFonts w:hint="eastAsia"/>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sz w:val="10"/>
              </w:rPr>
            </w:pPr>
          </w:p>
        </w:tc>
      </w:tr>
    </w:tbl>
    <w:p>
      <w:pPr>
        <w:pStyle w:val="57"/>
        <w:framePr w:wrap="around"/>
      </w:pPr>
      <w:r>
        <w:rPr>
          <w:rFonts w:hint="eastAsia"/>
        </w:rPr>
        <w:t xml:space="preserve">佛山标准 </w:t>
      </w:r>
      <w:r>
        <w:t xml:space="preserve"> </w:t>
      </w:r>
      <w:r>
        <w:rPr>
          <w:rFonts w:hint="eastAsia"/>
        </w:rPr>
        <w:t>快速冷却柜和快速</w:t>
      </w:r>
      <w:r>
        <w:rPr>
          <w:rFonts w:hint="eastAsia" w:ascii="宋体" w:hAnsi="宋体"/>
        </w:rPr>
        <w:t>冻结</w:t>
      </w:r>
      <w:r>
        <w:rPr>
          <w:rFonts w:hint="eastAsia"/>
        </w:rPr>
        <w:t>柜</w:t>
      </w:r>
    </w:p>
    <w:p>
      <w:pPr>
        <w:pStyle w:val="59"/>
        <w:framePr w:wrap="around"/>
      </w:pPr>
      <w:r>
        <w:t>Foshan Standard</w:t>
      </w:r>
      <w:r>
        <w:rPr>
          <w:rFonts w:hint="eastAsia"/>
        </w:rPr>
        <w:t xml:space="preserve"> </w:t>
      </w:r>
      <w:r>
        <w:t xml:space="preserve"> </w:t>
      </w:r>
      <w:r>
        <w:rPr>
          <w:rFonts w:hint="eastAsia"/>
        </w:rPr>
        <w:t>Blast chiller and freezer cabinets</w:t>
      </w:r>
    </w:p>
    <w:p>
      <w:pPr>
        <w:pStyle w:val="63"/>
        <w:framePr w:wrap="around"/>
        <w:spacing w:after="0"/>
      </w:pPr>
      <w:r>
        <w:t>(</w:t>
      </w:r>
      <w:r>
        <w:rPr>
          <w:rFonts w:hint="eastAsia"/>
        </w:rPr>
        <w:t>征求意见稿)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pPr>
            <w:r>
              <w:t>202</w:t>
            </w:r>
            <w:r>
              <w:rPr>
                <w:rFonts w:hint="eastAsia"/>
              </w:rPr>
              <w:t>5</w:t>
            </w:r>
            <w:r>
              <w:t>-</w:t>
            </w:r>
            <w:r>
              <w:rPr>
                <w:rFonts w:hint="eastAsia"/>
              </w:rPr>
              <w:t>XX</w:t>
            </w:r>
            <w:r>
              <w:t xml:space="preserve">- </w:t>
            </w:r>
            <w:r>
              <w:fldChar w:fldCharType="begin">
                <w:ffData>
                  <w:name w:val="FD"/>
                  <w:enabled/>
                  <w:calcOnExit w:val="0"/>
                  <w:textInput>
                    <w:default w:val="XX"/>
                    <w:maxLength w:val="2"/>
                  </w:textInput>
                </w:ffData>
              </w:fldChar>
            </w:r>
            <w:bookmarkStart w:id="0" w:name="FD"/>
            <w:r>
              <w:instrText xml:space="preserve"> FORMTEXT </w:instrText>
            </w:r>
            <w:r>
              <w:fldChar w:fldCharType="separate"/>
            </w:r>
            <w:r>
              <w:t>XX</w:t>
            </w:r>
            <w:r>
              <w:fldChar w:fldCharType="end"/>
            </w:r>
            <w:bookmarkEnd w:id="0"/>
            <w:r>
              <w:rPr>
                <w:rFonts w:hint="eastAsia"/>
              </w:rPr>
              <w:t xml:space="preserve"> 发布</w:t>
            </w:r>
          </w:p>
        </w:tc>
        <w:tc>
          <w:tcPr>
            <w:tcW w:w="4870" w:type="dxa"/>
            <w:shd w:val="clear" w:color="auto" w:fill="auto"/>
            <w:tcMar>
              <w:right w:w="57" w:type="dxa"/>
            </w:tcMar>
          </w:tcPr>
          <w:p>
            <w:pPr>
              <w:pStyle w:val="51"/>
              <w:framePr w:wrap="around"/>
              <w:jc w:val="right"/>
            </w:pPr>
            <w:r>
              <w:t>202</w:t>
            </w:r>
            <w:r>
              <w:rPr>
                <w:rFonts w:hint="eastAsia"/>
              </w:rPr>
              <w:t>5</w:t>
            </w:r>
            <w:r>
              <w:t>-</w:t>
            </w:r>
            <w:r>
              <w:rPr>
                <w:rFonts w:hint="eastAsia"/>
              </w:rPr>
              <w:t>XX</w:t>
            </w:r>
            <w:r>
              <w:t xml:space="preserve"> -</w:t>
            </w:r>
            <w:r>
              <w:rPr>
                <w:rFonts w:hint="eastAsia"/>
              </w:rPr>
              <w:t>XX 实施</w:t>
            </w:r>
          </w:p>
        </w:tc>
      </w:tr>
    </w:tbl>
    <w:p>
      <w:pPr>
        <w:pStyle w:val="71"/>
        <w:framePr w:wrap="around"/>
      </w:pPr>
      <w:r>
        <w:rPr>
          <w:rFonts w:hint="eastAsia"/>
        </w:rPr>
        <w:t>佛山市佛山标准和卓越绩效管理促进会</w:t>
      </w:r>
      <w:r>
        <w:t>  </w:t>
      </w:r>
      <w:r>
        <w:rPr>
          <w:spacing w:val="85"/>
        </w:rPr>
        <w:t>发</w:t>
      </w:r>
      <w: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pPr>
            <w:r>
              <w:t xml:space="preserve">ICS </w:t>
            </w:r>
            <w:r>
              <w:rPr>
                <w:rFonts w:hint="eastAsia"/>
              </w:rPr>
              <w:t>97</w:t>
            </w:r>
            <w:r>
              <w:t>.</w:t>
            </w:r>
            <w:r>
              <w:rPr>
                <w:rFonts w:hint="eastAsia"/>
              </w:rPr>
              <w:t>130.20</w:t>
            </w:r>
          </w:p>
        </w:tc>
        <w:tc>
          <w:tcPr>
            <w:tcW w:w="7795" w:type="dxa"/>
            <w:shd w:val="clear" w:color="auto" w:fill="auto"/>
          </w:tcPr>
          <w:p>
            <w:pPr>
              <w:pStyle w:val="79"/>
              <w:framePr w:wrap="around"/>
            </w:pPr>
          </w:p>
        </w:tc>
      </w:tr>
      <w:tr>
        <w:tblPrEx>
          <w:tblCellMar>
            <w:top w:w="0" w:type="dxa"/>
            <w:left w:w="0" w:type="dxa"/>
            <w:bottom w:w="0" w:type="dxa"/>
            <w:right w:w="0" w:type="dxa"/>
          </w:tblCellMar>
        </w:tblPrEx>
        <w:tc>
          <w:tcPr>
            <w:tcW w:w="1560" w:type="dxa"/>
            <w:shd w:val="clear" w:color="auto" w:fill="auto"/>
          </w:tcPr>
          <w:p>
            <w:pPr>
              <w:pStyle w:val="79"/>
              <w:framePr w:wrap="around"/>
            </w:pPr>
            <w:r>
              <w:t>CCS J</w:t>
            </w:r>
            <w:r>
              <w:rPr>
                <w:rFonts w:hint="eastAsia"/>
              </w:rPr>
              <w:t xml:space="preserve"> 73</w:t>
            </w:r>
          </w:p>
        </w:tc>
        <w:tc>
          <w:tcPr>
            <w:tcW w:w="7795" w:type="dxa"/>
            <w:shd w:val="clear" w:color="auto" w:fill="auto"/>
          </w:tcPr>
          <w:p>
            <w:pPr>
              <w:pStyle w:val="79"/>
              <w:framePr w:wrap="around"/>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w w:val="130"/>
                      <w:kern w:val="0"/>
                    </w:rPr>
                  </w:pPr>
                </w:p>
              </w:tc>
            </w:tr>
          </w:tbl>
          <w:p>
            <w:pPr>
              <w:pStyle w:val="79"/>
              <w:framePr w:wrap="around"/>
            </w:pPr>
          </w:p>
        </w:tc>
      </w:tr>
    </w:tbl>
    <w:p>
      <w:pPr>
        <w:pStyle w:val="79"/>
        <w:framePr w:wrap="around"/>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pPr>
      <w:r>
        <w:rPr>
          <w:rFonts w:hint="eastAsia"/>
          <w:spacing w:val="317"/>
        </w:rPr>
        <w:t>前</w:t>
      </w:r>
      <w:bookmarkStart w:id="1" w:name="BKQY"/>
      <w:r>
        <w:rPr>
          <w:rFonts w:hint="eastAsia"/>
        </w:rPr>
        <w:t>言</w:t>
      </w:r>
    </w:p>
    <w:p>
      <w:pPr>
        <w:pStyle w:val="23"/>
        <w:ind w:firstLine="420"/>
      </w:pPr>
      <w:r>
        <w:rPr>
          <w:rFonts w:hint="eastAsia"/>
        </w:rPr>
        <w:t>本文件按照GB/T 1.1-2020《标准化工作导则  第1部分：标准化文件的结构和起草规则》的规定起草。</w:t>
      </w:r>
    </w:p>
    <w:p>
      <w:pPr>
        <w:pStyle w:val="23"/>
        <w:ind w:firstLine="420"/>
      </w:pPr>
      <w:r>
        <w:rPr>
          <w:rFonts w:hint="eastAsia"/>
        </w:rPr>
        <w:t>请注意本文件的某些内容可能涉及专利，本文件的发布机构不承担识别专利的责任。</w:t>
      </w:r>
    </w:p>
    <w:p>
      <w:pPr>
        <w:pStyle w:val="23"/>
        <w:ind w:firstLine="420"/>
      </w:pPr>
      <w:r>
        <w:rPr>
          <w:rFonts w:hint="eastAsia"/>
        </w:rPr>
        <w:t>本文件由佛山市佛山标准和卓越绩效管理促进会提出并归口。</w:t>
      </w:r>
    </w:p>
    <w:p>
      <w:pPr>
        <w:pStyle w:val="23"/>
        <w:ind w:firstLine="420"/>
      </w:pPr>
      <w:r>
        <w:rPr>
          <w:rFonts w:hint="eastAsia"/>
        </w:rPr>
        <w:t>本文件起草单位：广东星星制冷设备有限公司、佛山市顺德区质量技术监督标准与编码所等。</w:t>
      </w:r>
    </w:p>
    <w:p>
      <w:pPr>
        <w:pStyle w:val="23"/>
        <w:ind w:firstLine="420"/>
      </w:pPr>
      <w:r>
        <w:rPr>
          <w:rFonts w:hint="eastAsia"/>
        </w:rPr>
        <w:t>本文件主要起草人：。</w:t>
      </w:r>
      <w:bookmarkEnd w:id="1"/>
    </w:p>
    <w:p>
      <w:pPr>
        <w:widowControl/>
        <w:jc w:val="left"/>
      </w:pPr>
      <w:r>
        <w:br w:type="page"/>
      </w:r>
    </w:p>
    <w:p>
      <w:pPr>
        <w:pStyle w:val="83"/>
        <w:spacing w:after="468"/>
      </w:pPr>
      <w:r>
        <w:rPr>
          <w:rFonts w:hint="eastAsia"/>
          <w:spacing w:val="317"/>
        </w:rPr>
        <w:t>引</w:t>
      </w:r>
      <w:bookmarkStart w:id="2" w:name="BKYY"/>
      <w:r>
        <w:rPr>
          <w:rFonts w:hint="eastAsia"/>
        </w:rPr>
        <w:t>言</w:t>
      </w:r>
    </w:p>
    <w:p>
      <w:pPr>
        <w:pStyle w:val="23"/>
        <w:ind w:firstLine="420"/>
      </w:pPr>
      <w:r>
        <w:rPr>
          <w:rFonts w:hint="eastAsia"/>
        </w:rPr>
        <w:t>佛山标准是佛山市为推动制造业高质量发展，打造的系列先进标准。</w:t>
      </w:r>
    </w:p>
    <w:p>
      <w:pPr>
        <w:pStyle w:val="23"/>
        <w:ind w:firstLine="420"/>
      </w:pPr>
      <w:r>
        <w:rPr>
          <w:rFonts w:hint="eastAsia"/>
        </w:rPr>
        <w:t>佛山标准倡导“标准决定质量，只有高标准才有高质量”的理念，坚持“国内领先、国际先进”定位，聚焦佛山制造业重点产业快速冷却柜和快速冻结柜，对标国内国际先进标准，围绕消费升级方向，提升标准和质量水平，增加优质快速冷却柜和快速冻结柜供给，以高标准打造中国制造品质高地，满足人民日益增长的美好生活需要。</w:t>
      </w:r>
      <w:bookmarkEnd w:id="2"/>
    </w:p>
    <w:p>
      <w:p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rPr>
        <w:tag w:val="StandardName"/>
        <w:id w:val="-1788579198"/>
        <w:lock w:val="sdtLocked"/>
        <w:placeholder>
          <w:docPart w:val="DefaultPlaceholder_-1854013440"/>
        </w:placeholder>
      </w:sdtPr>
      <w:sdtEndPr>
        <w:rPr>
          <w:rStyle w:val="86"/>
          <w:rFonts w:hint="default"/>
        </w:rPr>
      </w:sdtEndPr>
      <w:sdtContent>
        <w:p>
          <w:pPr>
            <w:pStyle w:val="85"/>
            <w:rPr>
              <w:rStyle w:val="86"/>
            </w:rPr>
          </w:pPr>
          <w:bookmarkStart w:id="3" w:name="StandardName"/>
          <w:r>
            <w:rPr>
              <w:rStyle w:val="86"/>
              <w:rFonts w:hint="eastAsia"/>
            </w:rPr>
            <w:t xml:space="preserve">佛山标准 </w:t>
          </w:r>
          <w:bookmarkEnd w:id="3"/>
          <w:r>
            <w:rPr>
              <w:rStyle w:val="86"/>
              <w:rFonts w:hint="eastAsia"/>
            </w:rPr>
            <w:t>快速冷却柜和快速冻结柜</w:t>
          </w:r>
        </w:p>
      </w:sdtContent>
    </w:sdt>
    <w:p>
      <w:pPr>
        <w:pStyle w:val="117"/>
        <w:spacing w:before="312" w:after="312"/>
      </w:pPr>
      <w:r>
        <w:rPr>
          <w:rFonts w:hint="eastAsia"/>
        </w:rPr>
        <w:t>范围</w:t>
      </w:r>
    </w:p>
    <w:p>
      <w:pPr>
        <w:pStyle w:val="23"/>
        <w:ind w:firstLine="420"/>
        <w:rPr>
          <w:rFonts w:hint="eastAsia"/>
        </w:rPr>
      </w:pPr>
      <w:bookmarkStart w:id="4" w:name="OLE_LINK11"/>
      <w:r>
        <w:rPr>
          <w:rFonts w:hint="eastAsia"/>
        </w:rPr>
        <w:t>本文件规定了快速冷却柜和快速冻结柜的型式和基本参数、要求、试验方法、检验规则、标志、制造商所提供的信息、包装、运输</w:t>
      </w:r>
      <w:r>
        <w:rPr>
          <w:rFonts w:hint="eastAsia"/>
          <w:lang w:val="en-US" w:eastAsia="zh-CN"/>
        </w:rPr>
        <w:t>、</w:t>
      </w:r>
      <w:r>
        <w:rPr>
          <w:rFonts w:hint="eastAsia"/>
        </w:rPr>
        <w:t>贮存及质量承诺。</w:t>
      </w:r>
    </w:p>
    <w:p>
      <w:pPr>
        <w:pStyle w:val="23"/>
        <w:ind w:firstLine="420"/>
        <w:rPr>
          <w:rFonts w:hint="eastAsia"/>
        </w:rPr>
      </w:pPr>
      <w:r>
        <w:rPr>
          <w:rFonts w:hint="eastAsia"/>
        </w:rPr>
        <w:t>本文件适用于由电机驱动压缩冷凝机组制冷，采用强制风冷的、用于快速冷却和快速冻结食物的商用和类似用途的快速冷却柜和快速冻结柜。</w:t>
      </w:r>
    </w:p>
    <w:p>
      <w:pPr>
        <w:pStyle w:val="23"/>
        <w:ind w:firstLine="420"/>
        <w:rPr>
          <w:rFonts w:hint="eastAsia"/>
        </w:rPr>
      </w:pPr>
      <w:r>
        <w:rPr>
          <w:rFonts w:hint="eastAsia"/>
        </w:rPr>
        <w:t>本文件不适用于连续式快速冷却和快速冻结设备。</w:t>
      </w:r>
    </w:p>
    <w:p>
      <w:pPr>
        <w:pStyle w:val="23"/>
        <w:ind w:firstLine="420"/>
        <w:rPr>
          <w:rFonts w:hint="eastAsia"/>
        </w:rPr>
      </w:pPr>
      <w:r>
        <w:rPr>
          <w:rFonts w:hint="eastAsia"/>
        </w:rPr>
        <w:t>本文件不适用于真空冷却和真空冻结设备。</w:t>
      </w:r>
    </w:p>
    <w:p>
      <w:pPr>
        <w:pStyle w:val="23"/>
        <w:ind w:firstLine="420"/>
        <w:rPr>
          <w:rFonts w:hint="eastAsia"/>
        </w:rPr>
      </w:pPr>
      <w:r>
        <w:rPr>
          <w:rFonts w:hint="eastAsia"/>
        </w:rPr>
        <w:t>本文件不适用于家用电冰箱（GB/T 8059）和商用冷柜（SB/T 10794.2）。</w:t>
      </w:r>
    </w:p>
    <w:bookmarkEnd w:id="4"/>
    <w:p>
      <w:pPr>
        <w:pStyle w:val="117"/>
        <w:spacing w:before="312" w:after="312"/>
      </w:pPr>
      <w:r>
        <w:rPr>
          <w:rFonts w:hint="eastAsia"/>
        </w:rPr>
        <w:t>规范性引用文件</w:t>
      </w:r>
    </w:p>
    <w:sdt>
      <w:sdt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Content>
        <w:p>
          <w:pPr>
            <w:pStyle w:val="2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cs="Times New Roman"/>
          <w:szCs w:val="21"/>
        </w:rPr>
      </w:pPr>
      <w:bookmarkStart w:id="5" w:name="OLE_LINK10"/>
      <w:r>
        <w:rPr>
          <w:rFonts w:cs="Times New Roman"/>
          <w:szCs w:val="21"/>
        </w:rPr>
        <w:t xml:space="preserve">GB/T 2828.1 </w:t>
      </w:r>
      <w:r>
        <w:rPr>
          <w:rFonts w:hint="eastAsia" w:cs="Times New Roman"/>
          <w:szCs w:val="21"/>
        </w:rPr>
        <w:t>计数抽样检验程序</w:t>
      </w:r>
      <w:r>
        <w:rPr>
          <w:rFonts w:cs="Times New Roman"/>
          <w:szCs w:val="21"/>
        </w:rPr>
        <w:t xml:space="preserve"> </w:t>
      </w:r>
      <w:r>
        <w:rPr>
          <w:rFonts w:hint="eastAsia" w:cs="Times New Roman"/>
          <w:szCs w:val="21"/>
        </w:rPr>
        <w:t>第</w:t>
      </w:r>
      <w:r>
        <w:rPr>
          <w:rFonts w:cs="Times New Roman"/>
          <w:szCs w:val="21"/>
        </w:rPr>
        <w:t>1</w:t>
      </w:r>
      <w:r>
        <w:rPr>
          <w:rFonts w:hint="eastAsia" w:cs="Times New Roman"/>
          <w:szCs w:val="21"/>
        </w:rPr>
        <w:t>部分：按接收质量限</w:t>
      </w:r>
      <w:r>
        <w:rPr>
          <w:rFonts w:cs="Times New Roman"/>
          <w:szCs w:val="21"/>
        </w:rPr>
        <w:t>(AQL)</w:t>
      </w:r>
      <w:r>
        <w:rPr>
          <w:rFonts w:hint="eastAsia" w:cs="Times New Roman"/>
          <w:szCs w:val="21"/>
        </w:rPr>
        <w:t>检索的逐批检验抽样计划</w:t>
      </w:r>
    </w:p>
    <w:p>
      <w:pPr>
        <w:widowControl/>
        <w:ind w:left="420"/>
        <w:rPr>
          <w:rFonts w:cs="Times New Roman"/>
          <w:szCs w:val="21"/>
        </w:rPr>
      </w:pPr>
      <w:r>
        <w:rPr>
          <w:rFonts w:cs="Times New Roman"/>
          <w:szCs w:val="21"/>
        </w:rPr>
        <w:t>GB/T 2829</w:t>
      </w:r>
      <w:r>
        <w:rPr>
          <w:rFonts w:hint="eastAsia"/>
        </w:rPr>
        <w:t>—</w:t>
      </w:r>
      <w:r>
        <w:rPr>
          <w:rFonts w:cs="Times New Roman"/>
          <w:szCs w:val="21"/>
        </w:rPr>
        <w:t xml:space="preserve">2002 </w:t>
      </w:r>
      <w:r>
        <w:rPr>
          <w:rFonts w:hint="eastAsia" w:cs="Times New Roman"/>
          <w:szCs w:val="21"/>
        </w:rPr>
        <w:t>周期检验计数抽样程序及表（适用于对过程稳定性的检验）</w:t>
      </w:r>
    </w:p>
    <w:p>
      <w:pPr>
        <w:widowControl/>
        <w:ind w:left="420"/>
        <w:rPr>
          <w:rFonts w:cs="Times New Roman"/>
          <w:szCs w:val="21"/>
        </w:rPr>
      </w:pPr>
      <w:r>
        <w:rPr>
          <w:rFonts w:hint="eastAsia" w:cs="Times New Roman"/>
          <w:szCs w:val="21"/>
        </w:rPr>
        <w:t>GB 3096 声环境质量标准</w:t>
      </w:r>
    </w:p>
    <w:p>
      <w:pPr>
        <w:widowControl/>
        <w:ind w:left="420"/>
        <w:rPr>
          <w:rFonts w:cs="Times New Roman"/>
          <w:color w:val="auto"/>
          <w:szCs w:val="21"/>
        </w:rPr>
      </w:pPr>
      <w:r>
        <w:rPr>
          <w:rFonts w:cs="Times New Roman"/>
          <w:color w:val="auto"/>
          <w:szCs w:val="21"/>
        </w:rPr>
        <w:t xml:space="preserve">GB 4343.1 </w:t>
      </w:r>
      <w:r>
        <w:rPr>
          <w:rFonts w:hint="eastAsia" w:cs="Times New Roman"/>
          <w:color w:val="auto"/>
          <w:szCs w:val="21"/>
        </w:rPr>
        <w:t>家用电器、电动工具和类似器具的电磁兼容要求</w:t>
      </w:r>
      <w:r>
        <w:rPr>
          <w:rFonts w:cs="Times New Roman"/>
          <w:color w:val="auto"/>
          <w:szCs w:val="21"/>
        </w:rPr>
        <w:t xml:space="preserve">  </w:t>
      </w:r>
      <w:r>
        <w:rPr>
          <w:rFonts w:hint="eastAsia" w:cs="Times New Roman"/>
          <w:color w:val="auto"/>
          <w:szCs w:val="21"/>
        </w:rPr>
        <w:t>第</w:t>
      </w:r>
      <w:r>
        <w:rPr>
          <w:rFonts w:cs="Times New Roman"/>
          <w:color w:val="auto"/>
          <w:szCs w:val="21"/>
        </w:rPr>
        <w:t>l</w:t>
      </w:r>
      <w:r>
        <w:rPr>
          <w:rFonts w:hint="eastAsia" w:cs="Times New Roman"/>
          <w:color w:val="auto"/>
          <w:szCs w:val="21"/>
        </w:rPr>
        <w:t>部分：发射</w:t>
      </w:r>
    </w:p>
    <w:p>
      <w:pPr>
        <w:widowControl/>
        <w:ind w:left="420"/>
        <w:rPr>
          <w:rFonts w:cs="Times New Roman"/>
          <w:color w:val="auto"/>
          <w:szCs w:val="21"/>
        </w:rPr>
      </w:pPr>
      <w:r>
        <w:rPr>
          <w:rFonts w:cs="Times New Roman"/>
          <w:color w:val="auto"/>
          <w:szCs w:val="21"/>
        </w:rPr>
        <w:t xml:space="preserve">GB/T 4343.2 </w:t>
      </w:r>
      <w:r>
        <w:rPr>
          <w:rFonts w:hint="eastAsia" w:cs="Times New Roman"/>
          <w:color w:val="auto"/>
          <w:szCs w:val="21"/>
        </w:rPr>
        <w:t>家用电器、电动工具和类似器具的电磁兼容要求</w:t>
      </w:r>
      <w:r>
        <w:rPr>
          <w:rFonts w:cs="Times New Roman"/>
          <w:color w:val="auto"/>
          <w:szCs w:val="21"/>
        </w:rPr>
        <w:t xml:space="preserve"> </w:t>
      </w:r>
      <w:r>
        <w:rPr>
          <w:rFonts w:hint="eastAsia" w:cs="Times New Roman"/>
          <w:color w:val="auto"/>
          <w:szCs w:val="21"/>
        </w:rPr>
        <w:t>第</w:t>
      </w:r>
      <w:r>
        <w:rPr>
          <w:rFonts w:cs="Times New Roman"/>
          <w:color w:val="auto"/>
          <w:szCs w:val="21"/>
        </w:rPr>
        <w:t>2</w:t>
      </w:r>
      <w:r>
        <w:rPr>
          <w:rFonts w:hint="eastAsia" w:cs="Times New Roman"/>
          <w:color w:val="auto"/>
          <w:szCs w:val="21"/>
        </w:rPr>
        <w:t>部分：抗扰度</w:t>
      </w:r>
    </w:p>
    <w:p>
      <w:pPr>
        <w:widowControl/>
        <w:ind w:left="420"/>
        <w:rPr>
          <w:rFonts w:cs="Times New Roman"/>
          <w:color w:val="auto"/>
          <w:szCs w:val="21"/>
        </w:rPr>
      </w:pPr>
      <w:r>
        <w:rPr>
          <w:rFonts w:cs="Times New Roman"/>
          <w:color w:val="auto"/>
          <w:szCs w:val="21"/>
        </w:rPr>
        <w:t>GB</w:t>
      </w:r>
      <w:r>
        <w:rPr>
          <w:rFonts w:hint="eastAsia" w:cs="Times New Roman"/>
          <w:color w:val="auto"/>
          <w:szCs w:val="21"/>
          <w:lang w:val="en-US" w:eastAsia="zh-CN"/>
        </w:rPr>
        <w:t>/T</w:t>
      </w:r>
      <w:r>
        <w:rPr>
          <w:rFonts w:cs="Times New Roman"/>
          <w:color w:val="auto"/>
          <w:szCs w:val="21"/>
        </w:rPr>
        <w:t xml:space="preserve"> 4706.1 </w:t>
      </w:r>
      <w:r>
        <w:rPr>
          <w:rFonts w:hint="eastAsia" w:cs="Times New Roman"/>
          <w:color w:val="auto"/>
          <w:szCs w:val="21"/>
        </w:rPr>
        <w:t>家用和类似用途电器的安全</w:t>
      </w:r>
      <w:r>
        <w:rPr>
          <w:rFonts w:cs="Times New Roman"/>
          <w:color w:val="auto"/>
          <w:szCs w:val="21"/>
        </w:rPr>
        <w:t xml:space="preserve"> </w:t>
      </w:r>
      <w:r>
        <w:rPr>
          <w:rFonts w:hint="eastAsia" w:cs="Times New Roman"/>
          <w:color w:val="auto"/>
          <w:szCs w:val="21"/>
        </w:rPr>
        <w:t>第</w:t>
      </w:r>
      <w:r>
        <w:rPr>
          <w:rFonts w:cs="Times New Roman"/>
          <w:color w:val="auto"/>
          <w:szCs w:val="21"/>
        </w:rPr>
        <w:t>l</w:t>
      </w:r>
      <w:r>
        <w:rPr>
          <w:rFonts w:hint="eastAsia" w:cs="Times New Roman"/>
          <w:color w:val="auto"/>
          <w:szCs w:val="21"/>
        </w:rPr>
        <w:t>部分：通用要求</w:t>
      </w:r>
    </w:p>
    <w:p>
      <w:pPr>
        <w:widowControl/>
        <w:ind w:firstLine="420" w:firstLineChars="200"/>
        <w:rPr>
          <w:rFonts w:cs="Times New Roman"/>
          <w:color w:val="auto"/>
          <w:szCs w:val="21"/>
        </w:rPr>
      </w:pPr>
      <w:r>
        <w:rPr>
          <w:rFonts w:cs="Times New Roman"/>
          <w:color w:val="auto"/>
          <w:szCs w:val="21"/>
        </w:rPr>
        <w:t>GB</w:t>
      </w:r>
      <w:r>
        <w:rPr>
          <w:rFonts w:hint="eastAsia" w:cs="Times New Roman"/>
          <w:color w:val="auto"/>
          <w:szCs w:val="21"/>
          <w:lang w:val="en-US" w:eastAsia="zh-CN"/>
        </w:rPr>
        <w:t>/T</w:t>
      </w:r>
      <w:r>
        <w:rPr>
          <w:rFonts w:cs="Times New Roman"/>
          <w:color w:val="auto"/>
          <w:szCs w:val="21"/>
        </w:rPr>
        <w:t xml:space="preserve"> 4706.102 </w:t>
      </w:r>
      <w:r>
        <w:rPr>
          <w:rFonts w:hint="eastAsia" w:cs="Times New Roman"/>
          <w:color w:val="auto"/>
          <w:szCs w:val="21"/>
        </w:rPr>
        <w:t>家用和类似</w:t>
      </w:r>
      <w:bookmarkStart w:id="14" w:name="_GoBack"/>
      <w:bookmarkEnd w:id="14"/>
      <w:r>
        <w:rPr>
          <w:rFonts w:hint="eastAsia" w:cs="Times New Roman"/>
          <w:color w:val="auto"/>
          <w:szCs w:val="21"/>
        </w:rPr>
        <w:t>用途电器的安全带嵌装或远置式制冷剂冷凝装置或压缩机的商用制冷器具的特殊要求</w:t>
      </w:r>
    </w:p>
    <w:p>
      <w:pPr>
        <w:widowControl/>
        <w:ind w:firstLine="420" w:firstLineChars="200"/>
        <w:rPr>
          <w:rFonts w:cs="Times New Roman"/>
          <w:szCs w:val="21"/>
        </w:rPr>
      </w:pPr>
      <w:r>
        <w:rPr>
          <w:rFonts w:cs="Times New Roman"/>
          <w:szCs w:val="21"/>
        </w:rPr>
        <w:t>GB 4806.1 食品安全国家标准</w:t>
      </w:r>
      <w:r>
        <w:rPr>
          <w:rFonts w:hint="eastAsia" w:cs="Times New Roman"/>
          <w:szCs w:val="21"/>
        </w:rPr>
        <w:t xml:space="preserve"> </w:t>
      </w:r>
      <w:r>
        <w:rPr>
          <w:rFonts w:cs="Times New Roman"/>
          <w:szCs w:val="21"/>
        </w:rPr>
        <w:t>食品接触材料及制品通用安全要求</w:t>
      </w:r>
    </w:p>
    <w:p>
      <w:pPr>
        <w:widowControl/>
        <w:ind w:firstLine="420" w:firstLineChars="200"/>
        <w:rPr>
          <w:rFonts w:cs="Times New Roman"/>
          <w:szCs w:val="21"/>
        </w:rPr>
      </w:pPr>
      <w:r>
        <w:rPr>
          <w:rFonts w:hint="eastAsia" w:cs="Times New Roman"/>
          <w:szCs w:val="21"/>
        </w:rPr>
        <w:t>GB 4806.5 玻璃制品</w:t>
      </w:r>
    </w:p>
    <w:p>
      <w:pPr>
        <w:widowControl/>
        <w:ind w:firstLine="420" w:firstLineChars="200"/>
        <w:rPr>
          <w:rFonts w:cs="Times New Roman"/>
          <w:szCs w:val="21"/>
        </w:rPr>
      </w:pPr>
      <w:r>
        <w:rPr>
          <w:rFonts w:hint="eastAsia" w:cs="Times New Roman"/>
          <w:szCs w:val="21"/>
        </w:rPr>
        <w:t>GB 4806.7 食品安全国家标准 食品接触用塑料材料及制品</w:t>
      </w:r>
    </w:p>
    <w:p>
      <w:pPr>
        <w:widowControl/>
        <w:ind w:firstLine="420" w:firstLineChars="200"/>
        <w:rPr>
          <w:rFonts w:cs="Times New Roman"/>
          <w:szCs w:val="21"/>
        </w:rPr>
      </w:pPr>
      <w:r>
        <w:rPr>
          <w:rFonts w:cs="Times New Roman"/>
          <w:szCs w:val="21"/>
        </w:rPr>
        <w:t>GB 4806.9 食品安全国家标准</w:t>
      </w:r>
      <w:r>
        <w:rPr>
          <w:rFonts w:hint="eastAsia" w:cs="Times New Roman"/>
          <w:szCs w:val="21"/>
        </w:rPr>
        <w:t xml:space="preserve"> </w:t>
      </w:r>
      <w:r>
        <w:rPr>
          <w:rFonts w:cs="Times New Roman"/>
          <w:szCs w:val="21"/>
        </w:rPr>
        <w:t>食品接触用金属材料及制品</w:t>
      </w:r>
    </w:p>
    <w:p>
      <w:pPr>
        <w:widowControl/>
        <w:ind w:firstLine="420" w:firstLineChars="200"/>
        <w:rPr>
          <w:rFonts w:cs="Times New Roman"/>
          <w:szCs w:val="21"/>
        </w:rPr>
      </w:pPr>
      <w:r>
        <w:rPr>
          <w:rFonts w:hint="eastAsia" w:cs="Times New Roman"/>
          <w:szCs w:val="21"/>
        </w:rPr>
        <w:t>GB 4806.10 食品接触用涂料及涂层</w:t>
      </w:r>
    </w:p>
    <w:p>
      <w:pPr>
        <w:widowControl/>
        <w:ind w:firstLine="420" w:firstLineChars="200"/>
        <w:rPr>
          <w:rFonts w:cs="Times New Roman"/>
          <w:szCs w:val="21"/>
        </w:rPr>
      </w:pPr>
      <w:r>
        <w:rPr>
          <w:rFonts w:hint="eastAsia" w:cs="Times New Roman"/>
          <w:szCs w:val="21"/>
        </w:rPr>
        <w:t xml:space="preserve">GB/T 8059  </w:t>
      </w:r>
      <w:r>
        <w:rPr>
          <w:rFonts w:cs="Times New Roman"/>
          <w:szCs w:val="21"/>
        </w:rPr>
        <w:t>家用和类似用途制冷器具</w:t>
      </w:r>
    </w:p>
    <w:p>
      <w:pPr>
        <w:widowControl/>
        <w:ind w:left="420"/>
        <w:rPr>
          <w:rFonts w:cs="Times New Roman"/>
          <w:szCs w:val="21"/>
        </w:rPr>
      </w:pPr>
      <w:r>
        <w:rPr>
          <w:rFonts w:hint="eastAsia" w:cs="Times New Roman"/>
          <w:szCs w:val="21"/>
        </w:rPr>
        <w:t>GB/T 9237-2017  制冷系统及热泵 安全与环境要求</w:t>
      </w:r>
    </w:p>
    <w:p>
      <w:pPr>
        <w:widowControl/>
        <w:ind w:left="420"/>
        <w:rPr>
          <w:rFonts w:cs="Times New Roman"/>
          <w:szCs w:val="21"/>
        </w:rPr>
      </w:pPr>
      <w:r>
        <w:rPr>
          <w:rFonts w:hint="eastAsia" w:hAnsi="宋体"/>
        </w:rPr>
        <w:t>GB</w:t>
      </w:r>
      <w:r>
        <w:rPr>
          <w:rFonts w:hint="eastAsia"/>
        </w:rPr>
        <w:t xml:space="preserve"> </w:t>
      </w:r>
      <w:r>
        <w:rPr>
          <w:rFonts w:hint="eastAsia" w:hAnsi="宋体"/>
        </w:rPr>
        <w:t xml:space="preserve">16798-2023  </w:t>
      </w:r>
      <w:r>
        <w:rPr>
          <w:rFonts w:hint="eastAsia" w:cs="Times New Roman"/>
          <w:szCs w:val="21"/>
        </w:rPr>
        <w:t>食品机械安全要求</w:t>
      </w:r>
    </w:p>
    <w:p>
      <w:pPr>
        <w:widowControl/>
        <w:ind w:left="420"/>
        <w:rPr>
          <w:rFonts w:cs="Times New Roman"/>
          <w:szCs w:val="21"/>
        </w:rPr>
      </w:pPr>
      <w:r>
        <w:rPr>
          <w:rFonts w:cs="Times New Roman"/>
          <w:szCs w:val="21"/>
        </w:rPr>
        <w:t xml:space="preserve">GB 17625.1 </w:t>
      </w:r>
      <w:r>
        <w:rPr>
          <w:rFonts w:hint="eastAsia" w:cs="Times New Roman"/>
          <w:szCs w:val="21"/>
        </w:rPr>
        <w:t>电磁兼容</w:t>
      </w:r>
      <w:r>
        <w:rPr>
          <w:rFonts w:cs="Times New Roman"/>
          <w:szCs w:val="21"/>
        </w:rPr>
        <w:t xml:space="preserve"> </w:t>
      </w:r>
      <w:r>
        <w:rPr>
          <w:rFonts w:hint="eastAsia" w:cs="Times New Roman"/>
          <w:szCs w:val="21"/>
        </w:rPr>
        <w:t>限值</w:t>
      </w:r>
      <w:r>
        <w:rPr>
          <w:rFonts w:cs="Times New Roman"/>
          <w:szCs w:val="21"/>
        </w:rPr>
        <w:t xml:space="preserve"> </w:t>
      </w:r>
      <w:r>
        <w:rPr>
          <w:rFonts w:hint="eastAsia" w:cs="Times New Roman"/>
          <w:szCs w:val="21"/>
        </w:rPr>
        <w:t>谐波电流发射限值</w:t>
      </w:r>
      <w:r>
        <w:rPr>
          <w:rFonts w:cs="Times New Roman"/>
          <w:szCs w:val="21"/>
        </w:rPr>
        <w:t>(</w:t>
      </w:r>
      <w:r>
        <w:rPr>
          <w:rFonts w:hint="eastAsia" w:cs="Times New Roman"/>
          <w:szCs w:val="21"/>
        </w:rPr>
        <w:t>设备每相输入电流</w:t>
      </w:r>
      <w:r>
        <w:rPr>
          <w:rFonts w:hint="eastAsia" w:hAnsi="宋体" w:cs="宋体"/>
          <w:szCs w:val="21"/>
        </w:rPr>
        <w:t>≤</w:t>
      </w:r>
      <w:r>
        <w:rPr>
          <w:rFonts w:cs="Times New Roman"/>
          <w:szCs w:val="21"/>
        </w:rPr>
        <w:t>16A)</w:t>
      </w:r>
    </w:p>
    <w:p>
      <w:pPr>
        <w:widowControl/>
        <w:ind w:left="420"/>
        <w:rPr>
          <w:rFonts w:cs="Times New Roman"/>
          <w:szCs w:val="21"/>
        </w:rPr>
      </w:pPr>
      <w:r>
        <w:rPr>
          <w:rFonts w:hint="eastAsia" w:cs="Times New Roman"/>
          <w:szCs w:val="21"/>
        </w:rPr>
        <w:t>GB/T 18517 制冷术语</w:t>
      </w:r>
    </w:p>
    <w:p>
      <w:pPr>
        <w:widowControl/>
        <w:ind w:left="420"/>
        <w:rPr>
          <w:rFonts w:cs="Times New Roman"/>
          <w:szCs w:val="21"/>
        </w:rPr>
      </w:pPr>
      <w:r>
        <w:rPr>
          <w:rFonts w:cs="Times New Roman"/>
          <w:szCs w:val="21"/>
        </w:rPr>
        <w:t>GB/T 21001.2</w:t>
      </w:r>
      <w:r>
        <w:rPr>
          <w:rFonts w:hint="eastAsia"/>
        </w:rPr>
        <w:t>—</w:t>
      </w:r>
      <w:r>
        <w:rPr>
          <w:rFonts w:cs="Times New Roman"/>
          <w:szCs w:val="21"/>
        </w:rPr>
        <w:t xml:space="preserve">2015 </w:t>
      </w:r>
      <w:r>
        <w:rPr>
          <w:rFonts w:hint="eastAsia" w:cs="Times New Roman"/>
          <w:szCs w:val="21"/>
        </w:rPr>
        <w:t>制冷陈列柜</w:t>
      </w:r>
      <w:r>
        <w:rPr>
          <w:rFonts w:cs="Times New Roman"/>
          <w:szCs w:val="21"/>
        </w:rPr>
        <w:t xml:space="preserve"> </w:t>
      </w:r>
      <w:r>
        <w:rPr>
          <w:rFonts w:hint="eastAsia" w:cs="Times New Roman"/>
          <w:szCs w:val="21"/>
        </w:rPr>
        <w:t>第</w:t>
      </w:r>
      <w:r>
        <w:rPr>
          <w:rFonts w:cs="Times New Roman"/>
          <w:szCs w:val="21"/>
        </w:rPr>
        <w:t>2</w:t>
      </w:r>
      <w:r>
        <w:rPr>
          <w:rFonts w:hint="eastAsia" w:cs="Times New Roman"/>
          <w:szCs w:val="21"/>
        </w:rPr>
        <w:t>部分：分类、要求和试验条件</w:t>
      </w:r>
    </w:p>
    <w:p>
      <w:pPr>
        <w:widowControl/>
        <w:ind w:left="420"/>
        <w:rPr>
          <w:rFonts w:cs="Times New Roman"/>
          <w:szCs w:val="21"/>
        </w:rPr>
      </w:pPr>
      <w:r>
        <w:rPr>
          <w:rFonts w:cs="Times New Roman"/>
          <w:szCs w:val="21"/>
        </w:rPr>
        <w:t xml:space="preserve">GB 21551.1 </w:t>
      </w:r>
      <w:r>
        <w:rPr>
          <w:rFonts w:hint="eastAsia" w:cs="Times New Roman"/>
          <w:szCs w:val="21"/>
        </w:rPr>
        <w:t>家用和类似用途电器的抗菌、除菌、净化功能通则</w:t>
      </w:r>
    </w:p>
    <w:p>
      <w:pPr>
        <w:widowControl/>
        <w:ind w:left="420"/>
        <w:rPr>
          <w:rFonts w:cs="Times New Roman"/>
          <w:szCs w:val="21"/>
        </w:rPr>
      </w:pPr>
      <w:r>
        <w:rPr>
          <w:rFonts w:cs="Times New Roman"/>
          <w:szCs w:val="21"/>
        </w:rPr>
        <w:t xml:space="preserve">GB 21551.2 </w:t>
      </w:r>
      <w:r>
        <w:rPr>
          <w:rFonts w:hint="eastAsia" w:cs="Times New Roman"/>
          <w:szCs w:val="21"/>
        </w:rPr>
        <w:t>家用和类似用途电器的抗菌、除菌、净化功能抗菌材料的特殊要求</w:t>
      </w:r>
    </w:p>
    <w:p>
      <w:pPr>
        <w:widowControl/>
        <w:ind w:left="420"/>
        <w:rPr>
          <w:rFonts w:cs="Times New Roman"/>
          <w:szCs w:val="21"/>
        </w:rPr>
      </w:pPr>
      <w:r>
        <w:rPr>
          <w:rFonts w:cs="Times New Roman"/>
          <w:szCs w:val="21"/>
        </w:rPr>
        <w:t xml:space="preserve">GB 21551.4 </w:t>
      </w:r>
      <w:r>
        <w:rPr>
          <w:rFonts w:hint="eastAsia" w:cs="Times New Roman"/>
          <w:szCs w:val="21"/>
        </w:rPr>
        <w:t>家用和类似用途电器的抗菌、除菌、净化功能</w:t>
      </w:r>
      <w:r>
        <w:rPr>
          <w:rFonts w:cs="Times New Roman"/>
          <w:szCs w:val="21"/>
        </w:rPr>
        <w:t xml:space="preserve"> </w:t>
      </w:r>
      <w:r>
        <w:rPr>
          <w:rFonts w:hint="eastAsia" w:cs="Times New Roman"/>
          <w:szCs w:val="21"/>
        </w:rPr>
        <w:t>电冰箱的特殊要求</w:t>
      </w:r>
    </w:p>
    <w:p>
      <w:pPr>
        <w:widowControl/>
        <w:ind w:firstLine="420" w:firstLineChars="200"/>
        <w:rPr>
          <w:rFonts w:cs="Times New Roman"/>
          <w:szCs w:val="21"/>
        </w:rPr>
      </w:pPr>
      <w:r>
        <w:rPr>
          <w:rFonts w:cs="Times New Roman"/>
          <w:szCs w:val="21"/>
        </w:rPr>
        <w:t>GB/T</w:t>
      </w:r>
      <w:r>
        <w:rPr>
          <w:rFonts w:hint="eastAsia" w:cs="Times New Roman"/>
          <w:szCs w:val="21"/>
        </w:rPr>
        <w:t xml:space="preserve"> </w:t>
      </w:r>
      <w:r>
        <w:rPr>
          <w:rFonts w:cs="Times New Roman"/>
          <w:szCs w:val="21"/>
        </w:rPr>
        <w:t xml:space="preserve">26125 </w:t>
      </w:r>
      <w:r>
        <w:rPr>
          <w:rFonts w:hint="eastAsia" w:cs="Times New Roman"/>
          <w:szCs w:val="21"/>
        </w:rPr>
        <w:t>电子电气产品</w:t>
      </w:r>
      <w:r>
        <w:rPr>
          <w:rFonts w:cs="Times New Roman"/>
          <w:szCs w:val="21"/>
        </w:rPr>
        <w:t xml:space="preserve"> </w:t>
      </w:r>
      <w:r>
        <w:rPr>
          <w:rFonts w:hint="eastAsia" w:cs="Times New Roman"/>
          <w:szCs w:val="21"/>
        </w:rPr>
        <w:t>六种限用物质（铅、汞、镉、六价铬、多溴联苯和多溴二苯醚）的测定</w:t>
      </w:r>
    </w:p>
    <w:p>
      <w:pPr>
        <w:widowControl/>
        <w:ind w:left="420"/>
        <w:rPr>
          <w:rFonts w:cs="Times New Roman"/>
          <w:szCs w:val="21"/>
        </w:rPr>
      </w:pPr>
      <w:r>
        <w:rPr>
          <w:rFonts w:cs="Times New Roman"/>
          <w:szCs w:val="21"/>
        </w:rPr>
        <w:t>GB/T</w:t>
      </w:r>
      <w:r>
        <w:rPr>
          <w:rFonts w:hint="eastAsia" w:cs="Times New Roman"/>
          <w:szCs w:val="21"/>
          <w:lang w:val="en-US" w:eastAsia="zh-CN"/>
        </w:rPr>
        <w:t xml:space="preserve"> </w:t>
      </w:r>
      <w:r>
        <w:rPr>
          <w:rFonts w:cs="Times New Roman"/>
          <w:szCs w:val="21"/>
        </w:rPr>
        <w:t xml:space="preserve">26572 </w:t>
      </w:r>
      <w:r>
        <w:rPr>
          <w:rFonts w:hint="eastAsia" w:cs="Times New Roman"/>
          <w:szCs w:val="21"/>
        </w:rPr>
        <w:t>电子电气产品中限用物质的限量要求</w:t>
      </w:r>
    </w:p>
    <w:p>
      <w:pPr>
        <w:widowControl/>
        <w:ind w:firstLine="420" w:firstLineChars="200"/>
        <w:rPr>
          <w:rFonts w:cs="Times New Roman"/>
          <w:szCs w:val="21"/>
        </w:rPr>
      </w:pPr>
      <w:r>
        <w:rPr>
          <w:rFonts w:hint="eastAsia" w:cs="Times New Roman"/>
          <w:szCs w:val="21"/>
        </w:rPr>
        <w:t>SB 10424 家用和类似用途电器的安全自携或远置冷机组或压缩机的商用制冷器具的特殊</w:t>
      </w:r>
    </w:p>
    <w:p>
      <w:pPr>
        <w:widowControl/>
        <w:ind w:left="420"/>
        <w:rPr>
          <w:rFonts w:hint="eastAsia" w:cs="Times New Roman"/>
          <w:szCs w:val="21"/>
        </w:rPr>
      </w:pPr>
      <w:r>
        <w:rPr>
          <w:rFonts w:hint="eastAsia" w:cs="Times New Roman"/>
          <w:szCs w:val="21"/>
        </w:rPr>
        <w:t>要求</w:t>
      </w:r>
    </w:p>
    <w:p>
      <w:pPr>
        <w:widowControl/>
        <w:ind w:left="420"/>
        <w:rPr>
          <w:rFonts w:cs="Times New Roman"/>
          <w:szCs w:val="21"/>
        </w:rPr>
      </w:pPr>
      <w:r>
        <w:rPr>
          <w:rFonts w:hint="eastAsia" w:cs="Times New Roman"/>
          <w:szCs w:val="21"/>
        </w:rPr>
        <w:t>SB/T 10794.2—2012 商用冷柜 第2部分：分类、要求和试验条件</w:t>
      </w:r>
    </w:p>
    <w:bookmarkEnd w:id="5"/>
    <w:p>
      <w:pPr>
        <w:widowControl/>
        <w:ind w:left="420"/>
        <w:rPr>
          <w:rFonts w:cs="Times New Roman"/>
          <w:szCs w:val="21"/>
        </w:rPr>
      </w:pPr>
      <w:bookmarkStart w:id="6" w:name="OLE_LINK2"/>
      <w:bookmarkStart w:id="7" w:name="OLE_LINK4"/>
      <w:r>
        <w:rPr>
          <w:rFonts w:hint="eastAsia" w:cs="Times New Roman"/>
          <w:szCs w:val="21"/>
        </w:rPr>
        <w:t>SB/T 11048</w:t>
      </w:r>
      <w:bookmarkEnd w:id="6"/>
      <w:r>
        <w:rPr>
          <w:rFonts w:hint="eastAsia" w:cs="Times New Roman"/>
          <w:szCs w:val="21"/>
        </w:rPr>
        <w:t>—2013</w:t>
      </w:r>
      <w:bookmarkEnd w:id="7"/>
      <w:r>
        <w:rPr>
          <w:rFonts w:hint="eastAsia" w:cs="Times New Roman"/>
          <w:szCs w:val="21"/>
        </w:rPr>
        <w:t xml:space="preserve"> 快速冷却柜和快速冻结柜</w:t>
      </w:r>
    </w:p>
    <w:p>
      <w:pPr>
        <w:pStyle w:val="117"/>
        <w:spacing w:before="312" w:after="312"/>
      </w:pPr>
      <w:bookmarkStart w:id="8" w:name="_Toc97195093"/>
      <w:bookmarkStart w:id="9" w:name="_Hlk130722279"/>
      <w:r>
        <w:rPr>
          <w:rFonts w:hint="eastAsia"/>
          <w:szCs w:val="21"/>
        </w:rPr>
        <w:t>术语和定义</w:t>
      </w:r>
      <w:bookmarkEnd w:id="8"/>
    </w:p>
    <w:p>
      <w:pPr>
        <w:pStyle w:val="23"/>
        <w:ind w:firstLine="420"/>
        <w:rPr>
          <w:rFonts w:cs="Times New Roman"/>
          <w:szCs w:val="21"/>
        </w:rPr>
      </w:pPr>
      <w:bookmarkStart w:id="10" w:name="_Toc26986532"/>
      <w:bookmarkEnd w:id="10"/>
      <w:r>
        <w:rPr>
          <w:rFonts w:hint="eastAsia" w:cs="Times New Roman"/>
          <w:szCs w:val="21"/>
        </w:rPr>
        <w:t>GB/T 18517及</w:t>
      </w:r>
      <w:r>
        <w:rPr>
          <w:rFonts w:cs="Times New Roman"/>
          <w:szCs w:val="21"/>
        </w:rPr>
        <w:t>SB/T 11048</w:t>
      </w:r>
      <w:r>
        <w:rPr>
          <w:rFonts w:hint="eastAsia" w:cs="Times New Roman"/>
          <w:szCs w:val="21"/>
          <w:lang w:eastAsia="zh-CN"/>
        </w:rPr>
        <w:t>—</w:t>
      </w:r>
      <w:r>
        <w:rPr>
          <w:rFonts w:cs="Times New Roman"/>
          <w:szCs w:val="21"/>
        </w:rPr>
        <w:t>2013界定的</w:t>
      </w:r>
      <w:r>
        <w:rPr>
          <w:rFonts w:hint="eastAsia" w:cs="Times New Roman"/>
          <w:szCs w:val="21"/>
        </w:rPr>
        <w:t>以及下列术语和定义适用于本文件。</w:t>
      </w:r>
    </w:p>
    <w:p>
      <w:pPr>
        <w:pStyle w:val="23"/>
        <w:ind w:firstLine="0" w:firstLineChars="0"/>
        <w:rPr>
          <w:rFonts w:ascii="黑体" w:hAnsi="黑体" w:eastAsia="黑体" w:cs="Times New Roman"/>
          <w:szCs w:val="21"/>
        </w:rPr>
      </w:pPr>
      <w:r>
        <w:rPr>
          <w:rFonts w:hint="eastAsia" w:ascii="黑体" w:hAnsi="黑体" w:eastAsia="黑体" w:cs="Times New Roman"/>
          <w:szCs w:val="21"/>
        </w:rPr>
        <w:t>3.1</w:t>
      </w:r>
    </w:p>
    <w:p>
      <w:pPr>
        <w:pStyle w:val="23"/>
        <w:ind w:firstLine="420"/>
        <w:rPr>
          <w:rFonts w:ascii="黑体" w:hAnsi="黑体" w:eastAsia="黑体" w:cs="Times New Roman"/>
          <w:szCs w:val="21"/>
        </w:rPr>
      </w:pPr>
      <w:r>
        <w:rPr>
          <w:rFonts w:hint="eastAsia" w:ascii="黑体" w:hAnsi="黑体" w:eastAsia="黑体" w:cs="Times New Roman"/>
          <w:szCs w:val="21"/>
        </w:rPr>
        <w:t>快速冷却柜  blast chillers</w:t>
      </w:r>
    </w:p>
    <w:p>
      <w:pPr>
        <w:pStyle w:val="23"/>
        <w:ind w:firstLine="420"/>
        <w:rPr>
          <w:rFonts w:cs="Times New Roman"/>
          <w:szCs w:val="21"/>
        </w:rPr>
      </w:pPr>
      <w:r>
        <w:rPr>
          <w:rFonts w:hint="eastAsia" w:cs="Times New Roman"/>
          <w:szCs w:val="21"/>
        </w:rPr>
        <w:t>将一定量的高温食品在规定的时间内,一次性使食品的中心温度冷却到非冻结状态的规定温度,即食品温度从70 ℃降到3 ℃的时间小于或等于90 min的冷却设备。</w:t>
      </w:r>
    </w:p>
    <w:p>
      <w:pPr>
        <w:pStyle w:val="23"/>
        <w:ind w:firstLine="0" w:firstLineChars="0"/>
        <w:rPr>
          <w:rFonts w:ascii="黑体" w:hAnsi="黑体" w:eastAsia="黑体" w:cs="Times New Roman"/>
          <w:szCs w:val="21"/>
        </w:rPr>
      </w:pPr>
      <w:r>
        <w:rPr>
          <w:rFonts w:hint="eastAsia" w:ascii="黑体" w:hAnsi="黑体" w:eastAsia="黑体" w:cs="Times New Roman"/>
          <w:szCs w:val="21"/>
        </w:rPr>
        <w:t>3.2</w:t>
      </w:r>
    </w:p>
    <w:p>
      <w:pPr>
        <w:pStyle w:val="23"/>
        <w:ind w:firstLine="420"/>
        <w:rPr>
          <w:rFonts w:ascii="黑体" w:hAnsi="黑体" w:eastAsia="黑体" w:cs="Times New Roman"/>
          <w:szCs w:val="21"/>
        </w:rPr>
      </w:pPr>
      <w:r>
        <w:rPr>
          <w:rFonts w:hint="eastAsia" w:ascii="黑体" w:hAnsi="黑体" w:eastAsia="黑体" w:cs="Times New Roman"/>
          <w:szCs w:val="21"/>
        </w:rPr>
        <w:t>快速冻结柜  blast  freezers</w:t>
      </w:r>
    </w:p>
    <w:p>
      <w:pPr>
        <w:pStyle w:val="23"/>
        <w:ind w:firstLine="420"/>
        <w:rPr>
          <w:rFonts w:cs="Times New Roman"/>
          <w:szCs w:val="21"/>
        </w:rPr>
      </w:pPr>
      <w:r>
        <w:rPr>
          <w:rFonts w:hint="eastAsia" w:cs="Times New Roman"/>
          <w:szCs w:val="21"/>
        </w:rPr>
        <w:t>将一定量的高温食品在规定的时间内,一次性使食品的中心温度冷却到冻结状态的规定温度,即食品温度从70 ℃降到-18 ℃的时间小于或等于240 min的冻结设备。</w:t>
      </w:r>
    </w:p>
    <w:p>
      <w:pPr>
        <w:pStyle w:val="23"/>
        <w:ind w:firstLine="0" w:firstLineChars="0"/>
        <w:rPr>
          <w:rFonts w:ascii="黑体" w:hAnsi="黑体" w:eastAsia="黑体" w:cs="Times New Roman"/>
          <w:szCs w:val="21"/>
        </w:rPr>
      </w:pPr>
      <w:r>
        <w:rPr>
          <w:rFonts w:hint="eastAsia" w:ascii="黑体" w:hAnsi="黑体" w:eastAsia="黑体" w:cs="Times New Roman"/>
          <w:szCs w:val="21"/>
        </w:rPr>
        <w:t>3.3</w:t>
      </w:r>
    </w:p>
    <w:p>
      <w:pPr>
        <w:pStyle w:val="23"/>
        <w:ind w:firstLine="420"/>
        <w:rPr>
          <w:rFonts w:ascii="黑体" w:hAnsi="黑体" w:eastAsia="黑体" w:cs="Times New Roman"/>
          <w:szCs w:val="21"/>
        </w:rPr>
      </w:pPr>
      <w:r>
        <w:rPr>
          <w:rFonts w:hint="eastAsia" w:ascii="黑体" w:hAnsi="黑体" w:eastAsia="黑体" w:cs="Times New Roman"/>
          <w:szCs w:val="21"/>
        </w:rPr>
        <w:t>冷却能力/冻结能力  cooling/freezing capacity</w:t>
      </w:r>
    </w:p>
    <w:p>
      <w:pPr>
        <w:pStyle w:val="23"/>
        <w:ind w:firstLine="420"/>
        <w:rPr>
          <w:rFonts w:cs="Times New Roman"/>
          <w:szCs w:val="21"/>
        </w:rPr>
      </w:pPr>
      <w:r>
        <w:rPr>
          <w:rFonts w:hint="eastAsia" w:cs="Times New Roman"/>
          <w:szCs w:val="21"/>
        </w:rPr>
        <w:t>快速冷却柜和快速冻结柜在规定时间内冷却/冻结食品的最大质量。</w:t>
      </w:r>
    </w:p>
    <w:p>
      <w:pPr>
        <w:pStyle w:val="23"/>
        <w:ind w:firstLine="0" w:firstLineChars="0"/>
        <w:rPr>
          <w:rFonts w:ascii="黑体" w:hAnsi="黑体" w:eastAsia="黑体" w:cs="Times New Roman"/>
          <w:szCs w:val="21"/>
        </w:rPr>
      </w:pPr>
      <w:r>
        <w:rPr>
          <w:rFonts w:ascii="黑体" w:hAnsi="黑体" w:eastAsia="黑体" w:cs="Times New Roman"/>
          <w:szCs w:val="21"/>
        </w:rPr>
        <w:t>3.4</w:t>
      </w:r>
    </w:p>
    <w:p>
      <w:pPr>
        <w:pStyle w:val="23"/>
        <w:ind w:firstLine="420"/>
        <w:rPr>
          <w:rFonts w:ascii="黑体" w:hAnsi="黑体" w:eastAsia="黑体" w:cs="Times New Roman"/>
          <w:szCs w:val="21"/>
        </w:rPr>
      </w:pPr>
      <w:r>
        <w:rPr>
          <w:rFonts w:hint="eastAsia" w:ascii="黑体" w:hAnsi="黑体" w:eastAsia="黑体" w:cs="Times New Roman"/>
          <w:szCs w:val="21"/>
        </w:rPr>
        <w:t>额定冷却能力/冻结能力耗电量  energy consumption for rated cooling/freezing capacity</w:t>
      </w:r>
    </w:p>
    <w:p>
      <w:pPr>
        <w:pStyle w:val="23"/>
        <w:ind w:firstLine="420"/>
        <w:rPr>
          <w:rFonts w:cs="Times New Roman"/>
          <w:szCs w:val="21"/>
        </w:rPr>
      </w:pPr>
      <w:r>
        <w:rPr>
          <w:rFonts w:hint="eastAsia" w:cs="Times New Roman"/>
          <w:szCs w:val="21"/>
        </w:rPr>
        <w:t>快速冷却柜和快速冻结柜在规定的试验条件下,额定冷却能力/额定冻结能力的单次耗电量，单位</w:t>
      </w:r>
      <w:r>
        <w:rPr>
          <w:rFonts w:hint="eastAsia" w:cs="Times New Roman"/>
          <w:szCs w:val="21"/>
          <w:lang w:eastAsia="zh-CN"/>
        </w:rPr>
        <w:t>：</w:t>
      </w:r>
      <w:r>
        <w:rPr>
          <w:rFonts w:hint="eastAsia" w:cs="Times New Roman"/>
          <w:szCs w:val="21"/>
        </w:rPr>
        <w:t>kW·h。</w:t>
      </w:r>
    </w:p>
    <w:p>
      <w:pPr>
        <w:pStyle w:val="23"/>
        <w:ind w:firstLine="0" w:firstLineChars="0"/>
        <w:rPr>
          <w:rFonts w:ascii="黑体" w:hAnsi="黑体" w:eastAsia="黑体" w:cs="Times New Roman"/>
          <w:szCs w:val="21"/>
        </w:rPr>
      </w:pPr>
      <w:r>
        <w:rPr>
          <w:rFonts w:ascii="黑体" w:hAnsi="黑体" w:eastAsia="黑体" w:cs="Times New Roman"/>
          <w:szCs w:val="21"/>
        </w:rPr>
        <w:t>3.5</w:t>
      </w:r>
    </w:p>
    <w:p>
      <w:pPr>
        <w:pStyle w:val="23"/>
        <w:ind w:firstLine="420"/>
        <w:rPr>
          <w:rFonts w:ascii="黑体" w:hAnsi="黑体" w:eastAsia="黑体" w:cs="Times New Roman"/>
          <w:szCs w:val="21"/>
        </w:rPr>
      </w:pPr>
      <w:r>
        <w:rPr>
          <w:rFonts w:hint="eastAsia" w:ascii="黑体" w:hAnsi="黑体" w:eastAsia="黑体" w:cs="Times New Roman"/>
          <w:szCs w:val="21"/>
        </w:rPr>
        <w:t>正常工作状态  normal operating conditions</w:t>
      </w:r>
    </w:p>
    <w:p>
      <w:pPr>
        <w:pStyle w:val="23"/>
        <w:ind w:firstLine="420"/>
        <w:rPr>
          <w:rFonts w:cs="Times New Roman"/>
          <w:szCs w:val="21"/>
        </w:rPr>
      </w:pPr>
      <w:r>
        <w:rPr>
          <w:rFonts w:hint="eastAsia" w:cs="Times New Roman"/>
          <w:szCs w:val="21"/>
        </w:rPr>
        <w:t>节流装置、温度控制器、除霜装置等设置到出厂设定值,其他部分接近于平时使用的状态,器具各部分运行正常,无异常及故障。</w:t>
      </w:r>
    </w:p>
    <w:p>
      <w:pPr>
        <w:pStyle w:val="23"/>
        <w:ind w:firstLine="0" w:firstLineChars="0"/>
        <w:rPr>
          <w:rFonts w:ascii="黑体" w:hAnsi="黑体" w:eastAsia="黑体" w:cs="Times New Roman"/>
          <w:szCs w:val="21"/>
        </w:rPr>
      </w:pPr>
      <w:r>
        <w:rPr>
          <w:rFonts w:ascii="黑体" w:hAnsi="黑体" w:eastAsia="黑体" w:cs="Times New Roman"/>
          <w:szCs w:val="21"/>
        </w:rPr>
        <w:t>3.6</w:t>
      </w:r>
    </w:p>
    <w:p>
      <w:pPr>
        <w:pStyle w:val="23"/>
        <w:ind w:firstLine="420"/>
        <w:rPr>
          <w:rFonts w:ascii="黑体" w:hAnsi="黑体" w:eastAsia="黑体" w:cs="Times New Roman"/>
          <w:szCs w:val="21"/>
        </w:rPr>
      </w:pPr>
      <w:r>
        <w:rPr>
          <w:rFonts w:hint="eastAsia" w:ascii="黑体" w:hAnsi="黑体" w:eastAsia="黑体" w:cs="Times New Roman"/>
          <w:szCs w:val="21"/>
        </w:rPr>
        <w:t>冷却时间/冻结时间 cooling/freezing time</w:t>
      </w:r>
    </w:p>
    <w:p>
      <w:pPr>
        <w:pStyle w:val="23"/>
        <w:ind w:firstLine="420"/>
        <w:rPr>
          <w:rFonts w:cs="Times New Roman"/>
          <w:szCs w:val="21"/>
        </w:rPr>
      </w:pPr>
      <w:r>
        <w:rPr>
          <w:rFonts w:hint="eastAsia" w:cs="Times New Roman"/>
          <w:szCs w:val="21"/>
        </w:rPr>
        <w:t>快速冷却柜和快速冻结柜冷却/冻结一定量食品(冷却能力/冻结能力)从70 ℃降到3 ℃/-18 ℃所需的时间。</w:t>
      </w:r>
    </w:p>
    <w:p>
      <w:pPr>
        <w:pStyle w:val="23"/>
        <w:ind w:firstLine="0" w:firstLineChars="0"/>
        <w:rPr>
          <w:rFonts w:ascii="黑体" w:hAnsi="黑体" w:eastAsia="黑体" w:cs="Times New Roman"/>
          <w:szCs w:val="21"/>
        </w:rPr>
      </w:pPr>
      <w:r>
        <w:rPr>
          <w:rFonts w:ascii="黑体" w:hAnsi="黑体" w:eastAsia="黑体" w:cs="Times New Roman"/>
          <w:szCs w:val="21"/>
        </w:rPr>
        <w:t>3.7</w:t>
      </w:r>
    </w:p>
    <w:p>
      <w:pPr>
        <w:pStyle w:val="23"/>
        <w:ind w:firstLine="420"/>
        <w:rPr>
          <w:rFonts w:ascii="黑体" w:hAnsi="黑体" w:eastAsia="黑体" w:cs="Times New Roman"/>
          <w:szCs w:val="21"/>
        </w:rPr>
      </w:pPr>
      <w:r>
        <w:rPr>
          <w:rFonts w:hint="eastAsia" w:ascii="黑体" w:hAnsi="黑体" w:eastAsia="黑体" w:cs="Times New Roman"/>
          <w:szCs w:val="21"/>
        </w:rPr>
        <w:t>总容积 gross volume</w:t>
      </w:r>
    </w:p>
    <w:p>
      <w:pPr>
        <w:pStyle w:val="23"/>
        <w:ind w:firstLine="420"/>
        <w:rPr>
          <w:rFonts w:cs="Times New Roman"/>
          <w:szCs w:val="21"/>
        </w:rPr>
      </w:pPr>
      <w:r>
        <w:rPr>
          <w:rFonts w:hint="eastAsia" w:cs="Times New Roman"/>
          <w:szCs w:val="21"/>
        </w:rPr>
        <w:t>门或盖关闭且不带内部附件时,制冷器具内壁或有外门的间室的内壁所包围的容积。</w:t>
      </w:r>
    </w:p>
    <w:p>
      <w:pPr>
        <w:pStyle w:val="23"/>
        <w:ind w:firstLine="0" w:firstLineChars="0"/>
        <w:rPr>
          <w:rFonts w:ascii="黑体" w:hAnsi="黑体" w:eastAsia="黑体" w:cs="Times New Roman"/>
          <w:szCs w:val="21"/>
        </w:rPr>
      </w:pPr>
      <w:r>
        <w:rPr>
          <w:rFonts w:ascii="黑体" w:hAnsi="黑体" w:eastAsia="黑体" w:cs="Times New Roman"/>
          <w:szCs w:val="21"/>
        </w:rPr>
        <w:t>3.8</w:t>
      </w:r>
    </w:p>
    <w:p>
      <w:pPr>
        <w:pStyle w:val="23"/>
        <w:ind w:firstLine="420"/>
        <w:rPr>
          <w:rFonts w:ascii="黑体" w:hAnsi="黑体" w:eastAsia="黑体" w:cs="Times New Roman"/>
          <w:szCs w:val="21"/>
        </w:rPr>
      </w:pPr>
      <w:r>
        <w:rPr>
          <w:rFonts w:hint="eastAsia" w:ascii="黑体" w:hAnsi="黑体" w:eastAsia="黑体" w:cs="Times New Roman"/>
          <w:szCs w:val="21"/>
        </w:rPr>
        <w:t>食品区 food zone</w:t>
      </w:r>
    </w:p>
    <w:p>
      <w:pPr>
        <w:pStyle w:val="23"/>
        <w:ind w:firstLine="420"/>
        <w:rPr>
          <w:rFonts w:cs="Times New Roman"/>
          <w:szCs w:val="21"/>
        </w:rPr>
      </w:pPr>
      <w:r>
        <w:rPr>
          <w:rFonts w:hint="eastAsia" w:cs="Times New Roman"/>
          <w:szCs w:val="21"/>
        </w:rPr>
        <w:t>用于直接接触食物的设备表面和与其他有可能与食品直接接触的设备表面,及可与食品接触的冷凝析出物产生及经过的设备表面,该冷凝析出物可通过流淌、淋滴或回溅至食品表面、或可至与食品直接接触的设备表面。</w:t>
      </w:r>
    </w:p>
    <w:p>
      <w:pPr>
        <w:pStyle w:val="117"/>
        <w:spacing w:before="312" w:after="312"/>
        <w:rPr>
          <w:szCs w:val="21"/>
        </w:rPr>
      </w:pPr>
      <w:r>
        <w:rPr>
          <w:rFonts w:hint="eastAsia"/>
          <w:szCs w:val="21"/>
        </w:rPr>
        <w:t>型式和基本参数</w:t>
      </w:r>
    </w:p>
    <w:p>
      <w:pPr>
        <w:pStyle w:val="119"/>
        <w:spacing w:before="156" w:after="156"/>
        <w:ind w:left="0"/>
      </w:pPr>
      <w:r>
        <w:rPr>
          <w:rFonts w:hint="eastAsia"/>
        </w:rPr>
        <w:t>型式</w:t>
      </w:r>
    </w:p>
    <w:p>
      <w:pPr>
        <w:pStyle w:val="23"/>
        <w:rPr>
          <w:rFonts w:hint="eastAsia" w:eastAsia="宋体"/>
          <w:lang w:eastAsia="zh-CN"/>
        </w:rPr>
      </w:pPr>
      <w:r>
        <w:rPr>
          <w:rFonts w:hint="eastAsia"/>
          <w:lang w:eastAsia="zh-CN"/>
        </w:rPr>
        <w:t>按用途可分为：</w:t>
      </w:r>
    </w:p>
    <w:p>
      <w:pPr>
        <w:pStyle w:val="23"/>
        <w:numPr>
          <w:ilvl w:val="0"/>
          <w:numId w:val="24"/>
        </w:numPr>
        <w:ind w:firstLineChars="0"/>
        <w:rPr>
          <w:color w:val="auto"/>
        </w:rPr>
      </w:pPr>
      <w:r>
        <w:rPr>
          <w:rFonts w:hint="eastAsia"/>
          <w:color w:val="auto"/>
        </w:rPr>
        <w:t>快速冷却柜和快速冻结柜按用途可分为快速冷却柜</w:t>
      </w:r>
      <w:r>
        <w:rPr>
          <w:rFonts w:hint="eastAsia"/>
          <w:color w:val="auto"/>
          <w:lang w:eastAsia="zh-CN"/>
        </w:rPr>
        <w:t>（</w:t>
      </w:r>
      <w:r>
        <w:rPr>
          <w:rFonts w:hint="eastAsia"/>
          <w:color w:val="auto"/>
        </w:rPr>
        <w:t>以汉语拼音字母C表示</w:t>
      </w:r>
      <w:r>
        <w:rPr>
          <w:rFonts w:hint="eastAsia"/>
          <w:color w:val="auto"/>
          <w:lang w:eastAsia="zh-CN"/>
        </w:rPr>
        <w:t>）；</w:t>
      </w:r>
    </w:p>
    <w:p>
      <w:pPr>
        <w:pStyle w:val="23"/>
        <w:numPr>
          <w:ilvl w:val="0"/>
          <w:numId w:val="24"/>
        </w:numPr>
        <w:ind w:firstLineChars="0"/>
        <w:rPr>
          <w:color w:val="auto"/>
        </w:rPr>
      </w:pPr>
      <w:r>
        <w:rPr>
          <w:rFonts w:hint="eastAsia"/>
          <w:color w:val="auto"/>
        </w:rPr>
        <w:t>快速冻结柜</w:t>
      </w:r>
      <w:r>
        <w:rPr>
          <w:rFonts w:hint="eastAsia"/>
          <w:color w:val="auto"/>
          <w:lang w:eastAsia="zh-CN"/>
        </w:rPr>
        <w:t>（</w:t>
      </w:r>
      <w:r>
        <w:rPr>
          <w:rFonts w:hint="eastAsia"/>
          <w:color w:val="auto"/>
        </w:rPr>
        <w:t>以汉语拼音字母F表示</w:t>
      </w:r>
      <w:r>
        <w:rPr>
          <w:rFonts w:hint="eastAsia"/>
          <w:color w:val="auto"/>
          <w:lang w:eastAsia="zh-CN"/>
        </w:rPr>
        <w:t>）；</w:t>
      </w:r>
    </w:p>
    <w:p>
      <w:pPr>
        <w:pStyle w:val="23"/>
        <w:numPr>
          <w:ilvl w:val="0"/>
          <w:numId w:val="24"/>
        </w:numPr>
        <w:ind w:firstLineChars="0"/>
        <w:rPr>
          <w:color w:val="auto"/>
        </w:rPr>
      </w:pPr>
      <w:r>
        <w:rPr>
          <w:rFonts w:hint="eastAsia"/>
          <w:color w:val="auto"/>
        </w:rPr>
        <w:t>快速冷却和冻结柜</w:t>
      </w:r>
      <w:r>
        <w:rPr>
          <w:rFonts w:hint="eastAsia"/>
          <w:color w:val="auto"/>
          <w:lang w:eastAsia="zh-CN"/>
        </w:rPr>
        <w:t>（</w:t>
      </w:r>
      <w:r>
        <w:rPr>
          <w:rFonts w:hint="eastAsia"/>
          <w:color w:val="auto"/>
        </w:rPr>
        <w:t>以汉语拼音字母CF表示</w:t>
      </w:r>
      <w:r>
        <w:rPr>
          <w:rFonts w:hint="eastAsia"/>
          <w:color w:val="auto"/>
          <w:lang w:eastAsia="zh-CN"/>
        </w:rPr>
        <w:t>）</w:t>
      </w:r>
      <w:r>
        <w:rPr>
          <w:rFonts w:hint="eastAsia"/>
          <w:color w:val="auto"/>
        </w:rPr>
        <w:t>。</w:t>
      </w:r>
    </w:p>
    <w:p>
      <w:pPr>
        <w:pStyle w:val="119"/>
        <w:spacing w:before="156" w:after="156"/>
        <w:ind w:left="0"/>
      </w:pPr>
      <w:r>
        <w:rPr>
          <w:rFonts w:hint="eastAsia"/>
        </w:rPr>
        <w:t>型号</w:t>
      </w:r>
    </w:p>
    <w:p>
      <w:pPr>
        <w:pStyle w:val="119"/>
        <w:numPr>
          <w:ilvl w:val="0"/>
          <w:numId w:val="0"/>
        </w:numPr>
        <w:spacing w:before="156" w:after="156"/>
        <w:ind w:firstLine="420" w:firstLineChars="200"/>
        <w:jc w:val="left"/>
        <w:rPr>
          <w:rFonts w:hint="eastAsia" w:ascii="宋体" w:hAnsi="宋体" w:eastAsia="宋体"/>
          <w:lang w:eastAsia="zh-CN"/>
        </w:rPr>
      </w:pPr>
      <w:r>
        <w:rPr>
          <w:rFonts w:hint="eastAsia" w:ascii="宋体" w:hAnsi="宋体" w:eastAsia="宋体"/>
        </w:rPr>
        <w:t>快速冷却柜和快速冻结柜的型号由大写汉语拼音字母和阿拉伯数字组成,具体的表示方法为</w:t>
      </w:r>
      <w:r>
        <w:rPr>
          <w:rFonts w:hint="eastAsia" w:ascii="宋体" w:hAnsi="宋体" w:eastAsia="宋体"/>
          <w:lang w:eastAsia="zh-CN"/>
        </w:rPr>
        <w:t>：</w:t>
      </w:r>
    </w:p>
    <w:p>
      <w:pPr>
        <w:pStyle w:val="23"/>
        <w:ind w:firstLine="515" w:firstLineChars="161"/>
        <w:rPr>
          <w:sz w:val="32"/>
          <w:szCs w:val="32"/>
        </w:rPr>
      </w:pPr>
      <w:r>
        <w:rPr>
          <w:sz w:val="32"/>
          <w:szCs w:val="32"/>
        </w:rPr>
        <mc:AlternateContent>
          <mc:Choice Requires="wps">
            <w:drawing>
              <wp:anchor distT="0" distB="0" distL="114300" distR="114300" simplePos="0" relativeHeight="251668480" behindDoc="0" locked="0" layoutInCell="1" allowOverlap="1">
                <wp:simplePos x="0" y="0"/>
                <wp:positionH relativeFrom="column">
                  <wp:posOffset>2646045</wp:posOffset>
                </wp:positionH>
                <wp:positionV relativeFrom="paragraph">
                  <wp:posOffset>248285</wp:posOffset>
                </wp:positionV>
                <wp:extent cx="3606165" cy="332105"/>
                <wp:effectExtent l="0" t="0" r="13335" b="10795"/>
                <wp:wrapNone/>
                <wp:docPr id="30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606165" cy="332105"/>
                        </a:xfrm>
                        <a:prstGeom prst="rect">
                          <a:avLst/>
                        </a:prstGeom>
                        <a:solidFill>
                          <a:srgbClr val="FFFFFF"/>
                        </a:solidFill>
                        <a:ln w="9525">
                          <a:noFill/>
                          <a:miter lim="800000"/>
                        </a:ln>
                      </wps:spPr>
                      <wps:txbx>
                        <w:txbxContent>
                          <w:p>
                            <w:pPr>
                              <w:pStyle w:val="23"/>
                              <w:ind w:left="0" w:leftChars="0" w:firstLine="0" w:firstLineChars="0"/>
                              <w:rPr>
                                <w:rFonts w:hint="eastAsia"/>
                                <w:sz w:val="18"/>
                                <w:szCs w:val="18"/>
                              </w:rPr>
                            </w:pPr>
                            <w:r>
                              <w:rPr>
                                <w:rFonts w:hint="eastAsia"/>
                                <w:sz w:val="18"/>
                                <w:szCs w:val="18"/>
                              </w:rPr>
                              <w:t>制造厂设计序号或特殊功能代号等，以汉语拼音大写字母和数字表示</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08.35pt;margin-top:19.55pt;height:26.15pt;width:283.95pt;z-index:251668480;mso-width-relative:page;mso-height-relative:page;" fillcolor="#FFFFFF" filled="t" stroked="f" coordsize="21600,21600" o:gfxdata="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9jQBu9cAAAAJAQAADwAAAAAAAAABACAAAAAiAAAAZHJzL2Rv&#10;d25yZXYueG1sUEsBAhQAFAAAAAgAh07iQOiCUnc7AgAAVAQAAA4AAAAAAAAAAQAgAAAAJgEAAGRy&#10;cy9lMm9Eb2MueG1sUEsFBgAAAAAGAAYAWQEAANMFAAAAAA==&#10;">
                <v:fill on="t" focussize="0,0"/>
                <v:stroke on="f" miterlimit="8" joinstyle="miter"/>
                <v:imagedata o:title=""/>
                <o:lock v:ext="edit" aspectratio="f"/>
                <v:textbox>
                  <w:txbxContent>
                    <w:p>
                      <w:pPr>
                        <w:pStyle w:val="23"/>
                        <w:ind w:left="0" w:leftChars="0" w:firstLine="0" w:firstLineChars="0"/>
                        <w:rPr>
                          <w:rFonts w:hint="eastAsia"/>
                          <w:sz w:val="18"/>
                          <w:szCs w:val="18"/>
                        </w:rPr>
                      </w:pPr>
                      <w:r>
                        <w:rPr>
                          <w:rFonts w:hint="eastAsia"/>
                          <w:sz w:val="18"/>
                          <w:szCs w:val="18"/>
                        </w:rPr>
                        <w:t>制造厂设计序号或特殊功能代号等，以汉语拼音大写字母和数字表示</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407035</wp:posOffset>
                </wp:positionH>
                <wp:positionV relativeFrom="paragraph">
                  <wp:posOffset>290195</wp:posOffset>
                </wp:positionV>
                <wp:extent cx="2325370" cy="1170940"/>
                <wp:effectExtent l="0" t="0" r="17780" b="10160"/>
                <wp:wrapNone/>
                <wp:docPr id="7" name="AutoShape 6"/>
                <wp:cNvGraphicFramePr/>
                <a:graphic xmlns:a="http://schemas.openxmlformats.org/drawingml/2006/main">
                  <a:graphicData uri="http://schemas.microsoft.com/office/word/2010/wordprocessingShape">
                    <wps:wsp>
                      <wps:cNvSpPr/>
                      <wps:spPr bwMode="auto">
                        <a:xfrm>
                          <a:off x="0" y="0"/>
                          <a:ext cx="2325370" cy="1170940"/>
                        </a:xfrm>
                        <a:custGeom>
                          <a:avLst/>
                          <a:gdLst>
                            <a:gd name="T0" fmla="+- 0 2490 2490"/>
                            <a:gd name="T1" fmla="*/ T0 w 3570"/>
                            <a:gd name="T2" fmla="+- 0 1055 1055"/>
                            <a:gd name="T3" fmla="*/ 1055 h 1707"/>
                            <a:gd name="T4" fmla="+- 0 2490 2490"/>
                            <a:gd name="T5" fmla="*/ T4 w 3570"/>
                            <a:gd name="T6" fmla="+- 0 2761 1055"/>
                            <a:gd name="T7" fmla="*/ 2761 h 1707"/>
                            <a:gd name="T8" fmla="+- 0 2490 2490"/>
                            <a:gd name="T9" fmla="*/ T8 w 3570"/>
                            <a:gd name="T10" fmla="+- 0 2762 1055"/>
                            <a:gd name="T11" fmla="*/ 2762 h 1707"/>
                            <a:gd name="T12" fmla="+- 0 6060 2490"/>
                            <a:gd name="T13" fmla="*/ T12 w 3570"/>
                            <a:gd name="T14" fmla="+- 0 2762 1055"/>
                            <a:gd name="T15" fmla="*/ 2762 h 1707"/>
                          </a:gdLst>
                          <a:ahLst/>
                          <a:cxnLst>
                            <a:cxn ang="0">
                              <a:pos x="T1" y="T3"/>
                            </a:cxn>
                            <a:cxn ang="0">
                              <a:pos x="T5" y="T7"/>
                            </a:cxn>
                            <a:cxn ang="0">
                              <a:pos x="T9" y="T11"/>
                            </a:cxn>
                            <a:cxn ang="0">
                              <a:pos x="T13" y="T15"/>
                            </a:cxn>
                          </a:cxnLst>
                          <a:rect l="0" t="0" r="r" b="b"/>
                          <a:pathLst>
                            <a:path w="3570" h="1707">
                              <a:moveTo>
                                <a:pt x="0" y="0"/>
                              </a:moveTo>
                              <a:lnTo>
                                <a:pt x="0" y="1706"/>
                              </a:lnTo>
                              <a:moveTo>
                                <a:pt x="0" y="1707"/>
                              </a:moveTo>
                              <a:lnTo>
                                <a:pt x="3570" y="1707"/>
                              </a:lnTo>
                            </a:path>
                          </a:pathLst>
                        </a:custGeom>
                        <a:noFill/>
                        <a:ln w="6350">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AutoShape 6" o:spid="_x0000_s1026" o:spt="100" style="position:absolute;left:0pt;margin-left:32.05pt;margin-top:22.85pt;height:92.2pt;width:183.1pt;z-index:251662336;mso-width-relative:page;mso-height-relative:page;" filled="f" stroked="t" coordsize="3570,1707" o:gfxdata="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" path="m0,0l0,1706m0,1707l3570,1707e">
                <v:path o:connectlocs="0,723691;0,1893945;0,1894631;2325370,1894631" o:connectangles="0,0,0,0"/>
                <v:fill on="f" focussize="0,0"/>
                <v:stroke weight="0.5pt"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1040765</wp:posOffset>
                </wp:positionH>
                <wp:positionV relativeFrom="paragraph">
                  <wp:posOffset>318135</wp:posOffset>
                </wp:positionV>
                <wp:extent cx="0" cy="871855"/>
                <wp:effectExtent l="0" t="0" r="19050" b="23495"/>
                <wp:wrapNone/>
                <wp:docPr id="6" name="Line 5"/>
                <wp:cNvGraphicFramePr/>
                <a:graphic xmlns:a="http://schemas.openxmlformats.org/drawingml/2006/main">
                  <a:graphicData uri="http://schemas.microsoft.com/office/word/2010/wordprocessingShape">
                    <wps:wsp>
                      <wps:cNvCnPr/>
                      <wps:spPr bwMode="auto">
                        <a:xfrm>
                          <a:off x="0" y="0"/>
                          <a:ext cx="0" cy="871855"/>
                        </a:xfrm>
                        <a:prstGeom prst="line">
                          <a:avLst/>
                        </a:prstGeom>
                        <a:noFill/>
                        <a:ln w="6350">
                          <a:solidFill>
                            <a:srgbClr val="000000"/>
                          </a:solidFill>
                          <a:prstDash val="solid"/>
                          <a:round/>
                        </a:ln>
                      </wps:spPr>
                      <wps:bodyPr/>
                    </wps:wsp>
                  </a:graphicData>
                </a:graphic>
              </wp:anchor>
            </w:drawing>
          </mc:Choice>
          <mc:Fallback>
            <w:pict>
              <v:line id="Line 5" o:spid="_x0000_s1026" o:spt="20" style="position:absolute;left:0pt;margin-left:81.95pt;margin-top:25.05pt;height:68.65pt;width:0pt;z-index:251661312;mso-width-relative:page;mso-height-relative:page;" filled="f" stroked="t" coordsize="21600,21600" o:gfxdata="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zvqqo1gAAAAoBAAAPAAAAAAAAAAEAIAAAACIAAABkcnMvZG93bnJldi54bWxQSwECFAAUAAAA&#10;CACHTuJAbBAC/rcBAACFAwAADgAAAAAAAAABACAAAAAlAQAAZHJzL2Uyb0RvYy54bWxQSwUGAAAA&#10;AAYABgBZAQAATgUAAAAA&#10;">
                <v:fill on="f" focussize="0,0"/>
                <v:stroke weight="0.5pt"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1612900</wp:posOffset>
                </wp:positionH>
                <wp:positionV relativeFrom="paragraph">
                  <wp:posOffset>304165</wp:posOffset>
                </wp:positionV>
                <wp:extent cx="1031875" cy="554990"/>
                <wp:effectExtent l="4445" t="0" r="11430" b="16510"/>
                <wp:wrapNone/>
                <wp:docPr id="10" name="AutoShape 9"/>
                <wp:cNvGraphicFramePr/>
                <a:graphic xmlns:a="http://schemas.openxmlformats.org/drawingml/2006/main">
                  <a:graphicData uri="http://schemas.microsoft.com/office/word/2010/wordprocessingShape">
                    <wps:wsp>
                      <wps:cNvSpPr/>
                      <wps:spPr bwMode="auto">
                        <a:xfrm>
                          <a:off x="0" y="0"/>
                          <a:ext cx="1031875" cy="554990"/>
                        </a:xfrm>
                        <a:custGeom>
                          <a:avLst/>
                          <a:gdLst>
                            <a:gd name="T0" fmla="+- 0 4350 4350"/>
                            <a:gd name="T1" fmla="*/ T0 w 1710"/>
                            <a:gd name="T2" fmla="+- 0 1062 1062"/>
                            <a:gd name="T3" fmla="*/ 1062 h 770"/>
                            <a:gd name="T4" fmla="+- 0 4350 4350"/>
                            <a:gd name="T5" fmla="*/ T4 w 1710"/>
                            <a:gd name="T6" fmla="+- 0 1831 1062"/>
                            <a:gd name="T7" fmla="*/ 1831 h 770"/>
                            <a:gd name="T8" fmla="+- 0 4350 4350"/>
                            <a:gd name="T9" fmla="*/ T8 w 1710"/>
                            <a:gd name="T10" fmla="+- 0 1832 1062"/>
                            <a:gd name="T11" fmla="*/ 1832 h 770"/>
                            <a:gd name="T12" fmla="+- 0 6060 4350"/>
                            <a:gd name="T13" fmla="*/ T12 w 1710"/>
                            <a:gd name="T14" fmla="+- 0 1832 1062"/>
                            <a:gd name="T15" fmla="*/ 1832 h 770"/>
                          </a:gdLst>
                          <a:ahLst/>
                          <a:cxnLst>
                            <a:cxn ang="0">
                              <a:pos x="T1" y="T3"/>
                            </a:cxn>
                            <a:cxn ang="0">
                              <a:pos x="T5" y="T7"/>
                            </a:cxn>
                            <a:cxn ang="0">
                              <a:pos x="T9" y="T11"/>
                            </a:cxn>
                            <a:cxn ang="0">
                              <a:pos x="T13" y="T15"/>
                            </a:cxn>
                          </a:cxnLst>
                          <a:rect l="0" t="0" r="r" b="b"/>
                          <a:pathLst>
                            <a:path w="1710" h="770">
                              <a:moveTo>
                                <a:pt x="0" y="0"/>
                              </a:moveTo>
                              <a:lnTo>
                                <a:pt x="0" y="769"/>
                              </a:lnTo>
                              <a:moveTo>
                                <a:pt x="0" y="770"/>
                              </a:moveTo>
                              <a:lnTo>
                                <a:pt x="1710" y="770"/>
                              </a:lnTo>
                            </a:path>
                          </a:pathLst>
                        </a:custGeom>
                        <a:noFill/>
                        <a:ln w="9525">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AutoShape 9" o:spid="_x0000_s1026" o:spt="100" style="position:absolute;left:0pt;margin-left:127pt;margin-top:23.95pt;height:43.7pt;width:81.25pt;z-index:251665408;mso-width-relative:page;mso-height-relative:page;" filled="f" stroked="t" coordsize="1710,770" o:gfxdata="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" path="m0,0l0,769m0,770l1710,770e">
                <v:path o:connectlocs="0,765453;0,1319722;0,1320443;1031875,1320443" o:connectangles="0,0,0,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2132330</wp:posOffset>
                </wp:positionH>
                <wp:positionV relativeFrom="paragraph">
                  <wp:posOffset>272415</wp:posOffset>
                </wp:positionV>
                <wp:extent cx="495300" cy="226695"/>
                <wp:effectExtent l="0" t="0" r="19050" b="20955"/>
                <wp:wrapNone/>
                <wp:docPr id="12" name="AutoShape 11"/>
                <wp:cNvGraphicFramePr/>
                <a:graphic xmlns:a="http://schemas.openxmlformats.org/drawingml/2006/main">
                  <a:graphicData uri="http://schemas.microsoft.com/office/word/2010/wordprocessingShape">
                    <wps:wsp>
                      <wps:cNvSpPr/>
                      <wps:spPr bwMode="auto">
                        <a:xfrm>
                          <a:off x="0" y="0"/>
                          <a:ext cx="495300" cy="226695"/>
                        </a:xfrm>
                        <a:custGeom>
                          <a:avLst/>
                          <a:gdLst>
                            <a:gd name="T0" fmla="+- 0 5280 5280"/>
                            <a:gd name="T1" fmla="*/ T0 w 780"/>
                            <a:gd name="T2" fmla="+- 0 1055 1055"/>
                            <a:gd name="T3" fmla="*/ 1055 h 357"/>
                            <a:gd name="T4" fmla="+- 0 5280 5280"/>
                            <a:gd name="T5" fmla="*/ T4 w 780"/>
                            <a:gd name="T6" fmla="+- 0 1411 1055"/>
                            <a:gd name="T7" fmla="*/ 1411 h 357"/>
                            <a:gd name="T8" fmla="+- 0 5280 5280"/>
                            <a:gd name="T9" fmla="*/ T8 w 780"/>
                            <a:gd name="T10" fmla="+- 0 1412 1055"/>
                            <a:gd name="T11" fmla="*/ 1412 h 357"/>
                            <a:gd name="T12" fmla="+- 0 6060 5280"/>
                            <a:gd name="T13" fmla="*/ T12 w 780"/>
                            <a:gd name="T14" fmla="+- 0 1412 1055"/>
                            <a:gd name="T15" fmla="*/ 1412 h 357"/>
                          </a:gdLst>
                          <a:ahLst/>
                          <a:cxnLst>
                            <a:cxn ang="0">
                              <a:pos x="T1" y="T3"/>
                            </a:cxn>
                            <a:cxn ang="0">
                              <a:pos x="T5" y="T7"/>
                            </a:cxn>
                            <a:cxn ang="0">
                              <a:pos x="T9" y="T11"/>
                            </a:cxn>
                            <a:cxn ang="0">
                              <a:pos x="T13" y="T15"/>
                            </a:cxn>
                          </a:cxnLst>
                          <a:rect l="0" t="0" r="r" b="b"/>
                          <a:pathLst>
                            <a:path w="780" h="357">
                              <a:moveTo>
                                <a:pt x="0" y="0"/>
                              </a:moveTo>
                              <a:lnTo>
                                <a:pt x="0" y="356"/>
                              </a:lnTo>
                              <a:moveTo>
                                <a:pt x="0" y="357"/>
                              </a:moveTo>
                              <a:lnTo>
                                <a:pt x="780" y="357"/>
                              </a:lnTo>
                            </a:path>
                          </a:pathLst>
                        </a:custGeom>
                        <a:noFill/>
                        <a:ln w="9525">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AutoShape 11" o:spid="_x0000_s1026" o:spt="100" style="position:absolute;left:0pt;margin-left:167.9pt;margin-top:21.45pt;height:17.85pt;width:39pt;z-index:251667456;mso-width-relative:page;mso-height-relative:page;" filled="f" stroked="t" coordsize="780,357" o:gfxdata="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P8acgTY&#10;AAAACQEAAA8AAAAAAAAAAQAgAAAAIgAAAGRycy9kb3ducmV2LnhtbFBLAQIUABQAAAAIAIdO4kDl&#10;Y67NPQMAAGMIAAAOAAAAAAAAAAEAIAAAACcBAABkcnMvZTJvRG9jLnhtbFBLBQYAAAAABgAGAFkB&#10;AADWBgAAAAA=&#10;" path="m0,0l0,356m0,357l780,357e">
                <v:path o:connectlocs="0,669925;0,895985;0,896620;495300,896620" o:connectangles="0,0,0,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899795</wp:posOffset>
                </wp:positionH>
                <wp:positionV relativeFrom="paragraph">
                  <wp:posOffset>73660</wp:posOffset>
                </wp:positionV>
                <wp:extent cx="314325" cy="187960"/>
                <wp:effectExtent l="4445" t="5080" r="5080" b="16510"/>
                <wp:wrapNone/>
                <wp:docPr id="4" name="Rectangle 4"/>
                <wp:cNvGraphicFramePr/>
                <a:graphic xmlns:a="http://schemas.openxmlformats.org/drawingml/2006/main">
                  <a:graphicData uri="http://schemas.microsoft.com/office/word/2010/wordprocessingShape">
                    <wps:wsp>
                      <wps:cNvSpPr>
                        <a:spLocks noChangeArrowheads="1"/>
                      </wps:cNvSpPr>
                      <wps:spPr bwMode="auto">
                        <a:xfrm>
                          <a:off x="0" y="0"/>
                          <a:ext cx="314325" cy="187960"/>
                        </a:xfrm>
                        <a:prstGeom prst="rect">
                          <a:avLst/>
                        </a:prstGeom>
                        <a:noFill/>
                        <a:ln w="9525">
                          <a:solidFill>
                            <a:srgbClr val="000000"/>
                          </a:solidFill>
                          <a:prstDash val="solid"/>
                          <a:miter lim="800000"/>
                        </a:ln>
                      </wps:spPr>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70.85pt;margin-top:5.8pt;height:14.8pt;width:24.75pt;z-index:251660288;mso-width-relative:page;mso-height-relative:page;" filled="f" stroked="t" coordsize="21600,21600" o:gfxdata="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ZmT0NYAAAAJAQAADwAAAAAAAAABACAAAAAiAAAAZHJzL2Rvd25yZXYueG1sUEsBAhQA&#10;FAAAAAgAh07iQIrZBxItAgAAYQQAAA4AAAAAAAAAAQAgAAAAJQEAAGRycy9lMm9Eb2MueG1sUEsF&#10;BgAAAAAGAAYAWQEAAMQFAAAAAA==&#10;">
                <v:fill on="f" focussize="0,0"/>
                <v:stroke color="#000000" miterlimit="8" joinstyle="miter"/>
                <v:imagedata o:title=""/>
                <o:lock v:ext="edit" aspectratio="f"/>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1476375</wp:posOffset>
                </wp:positionH>
                <wp:positionV relativeFrom="paragraph">
                  <wp:posOffset>73025</wp:posOffset>
                </wp:positionV>
                <wp:extent cx="241935" cy="210185"/>
                <wp:effectExtent l="4445" t="4445" r="20320" b="13970"/>
                <wp:wrapNone/>
                <wp:docPr id="9" name="Rectangle 8"/>
                <wp:cNvGraphicFramePr/>
                <a:graphic xmlns:a="http://schemas.openxmlformats.org/drawingml/2006/main">
                  <a:graphicData uri="http://schemas.microsoft.com/office/word/2010/wordprocessingShape">
                    <wps:wsp>
                      <wps:cNvSpPr>
                        <a:spLocks noChangeArrowheads="1"/>
                      </wps:cNvSpPr>
                      <wps:spPr bwMode="auto">
                        <a:xfrm>
                          <a:off x="0" y="0"/>
                          <a:ext cx="241935" cy="210185"/>
                        </a:xfrm>
                        <a:prstGeom prst="rect">
                          <a:avLst/>
                        </a:prstGeom>
                        <a:noFill/>
                        <a:ln w="9525">
                          <a:solidFill>
                            <a:srgbClr val="000000"/>
                          </a:solidFill>
                          <a:prstDash val="solid"/>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116.25pt;margin-top:5.75pt;height:16.55pt;width:19.05pt;z-index:251664384;mso-width-relative:page;mso-height-relative:page;" filled="f" stroked="t" coordsize="21600,21600" o:gfxdata="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g05kGdcAAAAJAQAADwAAAAAAAAABACAAAAAiAAAAZHJzL2Rvd25yZXYueG1sUEsBAhQA&#10;FAAAAAgAh07iQIPwKlYsAgAAYQQAAA4AAAAAAAAAAQAgAAAAJgEAAGRycy9lMm9Eb2MueG1sUEsF&#10;BgAAAAAGAAYAWQEAAMQFAAAAAA==&#10;">
                <v:fill on="f" focussize="0,0"/>
                <v:stroke color="#000000" miterlimit="8" joinstyle="miter"/>
                <v:imagedata o:title=""/>
                <o:lock v:ext="edit" aspectratio="f"/>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2024380</wp:posOffset>
                </wp:positionH>
                <wp:positionV relativeFrom="paragraph">
                  <wp:posOffset>68580</wp:posOffset>
                </wp:positionV>
                <wp:extent cx="230505" cy="188595"/>
                <wp:effectExtent l="4445" t="4445" r="12700" b="16510"/>
                <wp:wrapNone/>
                <wp:docPr id="11" name="Rectangle 10"/>
                <wp:cNvGraphicFramePr/>
                <a:graphic xmlns:a="http://schemas.openxmlformats.org/drawingml/2006/main">
                  <a:graphicData uri="http://schemas.microsoft.com/office/word/2010/wordprocessingShape">
                    <wps:wsp>
                      <wps:cNvSpPr>
                        <a:spLocks noChangeArrowheads="1"/>
                      </wps:cNvSpPr>
                      <wps:spPr bwMode="auto">
                        <a:xfrm>
                          <a:off x="0" y="0"/>
                          <a:ext cx="230505" cy="188595"/>
                        </a:xfrm>
                        <a:prstGeom prst="rect">
                          <a:avLst/>
                        </a:prstGeom>
                        <a:noFill/>
                        <a:ln w="9525">
                          <a:solidFill>
                            <a:srgbClr val="000000"/>
                          </a:solidFill>
                          <a:prstDash val="solid"/>
                          <a:miter lim="800000"/>
                        </a:ln>
                      </wps:spPr>
                      <wps:bodyPr rot="0" vert="horz" wrap="square" lIns="91440" tIns="45720" rIns="91440" bIns="45720" anchor="t" anchorCtr="0" upright="1">
                        <a:noAutofit/>
                      </wps:bodyPr>
                    </wps:wsp>
                  </a:graphicData>
                </a:graphic>
              </wp:anchor>
            </w:drawing>
          </mc:Choice>
          <mc:Fallback>
            <w:pict>
              <v:rect id="Rectangle 10" o:spid="_x0000_s1026" o:spt="1" style="position:absolute;left:0pt;margin-left:159.4pt;margin-top:5.4pt;height:14.85pt;width:18.15pt;z-index:251666432;mso-width-relative:page;mso-height-relative:page;" filled="f" stroked="t" coordsize="21600,21600" o:gfxdata="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kwnpjXAAAACQEAAA8AAAAAAAAAAQAgAAAAIgAAAGRycy9kb3ducmV2LnhtbFBLAQIU&#10;ABQAAAAIAIdO4kC5dFFaLQIAAGMEAAAOAAAAAAAAAAEAIAAAACYBAABkcnMvZTJvRG9jLnhtbFBL&#10;BQYAAAAABgAGAFkBAADFBQAAAAA=&#10;">
                <v:fill on="f" focussize="0,0"/>
                <v:stroke color="#000000" miterlimit="8" joinstyle="miter"/>
                <v:imagedata o:title=""/>
                <o:lock v:ext="edit" aspectratio="f"/>
              </v:rect>
            </w:pict>
          </mc:Fallback>
        </mc:AlternateContent>
      </w:r>
      <w:r>
        <w:rPr>
          <w:rFonts w:hint="eastAsia"/>
          <w:sz w:val="32"/>
          <w:szCs w:val="32"/>
        </w:rPr>
        <w:t>B</w:t>
      </w:r>
    </w:p>
    <w:p>
      <w:pPr>
        <w:pStyle w:val="23"/>
        <w:ind w:firstLine="420"/>
      </w:pPr>
    </w:p>
    <w:p>
      <w:pPr>
        <w:pStyle w:val="23"/>
        <w:ind w:firstLine="420"/>
      </w:pPr>
      <w:r>
        <w:rPr>
          <w:sz w:val="32"/>
          <w:szCs w:val="32"/>
        </w:rPr>
        <mc:AlternateContent>
          <mc:Choice Requires="wps">
            <w:drawing>
              <wp:anchor distT="0" distB="0" distL="114300" distR="114300" simplePos="0" relativeHeight="251669504" behindDoc="0" locked="0" layoutInCell="1" allowOverlap="1">
                <wp:simplePos x="0" y="0"/>
                <wp:positionH relativeFrom="column">
                  <wp:posOffset>2722880</wp:posOffset>
                </wp:positionH>
                <wp:positionV relativeFrom="paragraph">
                  <wp:posOffset>16510</wp:posOffset>
                </wp:positionV>
                <wp:extent cx="3477895" cy="722630"/>
                <wp:effectExtent l="0" t="0" r="8255" b="1270"/>
                <wp:wrapNone/>
                <wp:docPr id="2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77895" cy="722630"/>
                        </a:xfrm>
                        <a:prstGeom prst="rect">
                          <a:avLst/>
                        </a:prstGeom>
                        <a:solidFill>
                          <a:srgbClr val="FFFFFF"/>
                        </a:solidFill>
                        <a:ln w="9525">
                          <a:noFill/>
                          <a:miter lim="800000"/>
                        </a:ln>
                      </wps:spPr>
                      <wps:txbx>
                        <w:txbxContent>
                          <w:p>
                            <w:pPr>
                              <w:pStyle w:val="23"/>
                              <w:ind w:left="0" w:leftChars="0" w:firstLine="0" w:firstLineChars="0"/>
                              <w:rPr>
                                <w:rFonts w:hint="eastAsia" w:eastAsia="宋体"/>
                                <w:sz w:val="18"/>
                                <w:szCs w:val="18"/>
                                <w:lang w:eastAsia="zh-CN"/>
                              </w:rPr>
                            </w:pPr>
                            <w:r>
                              <w:rPr>
                                <w:rFonts w:hint="eastAsia"/>
                                <w:sz w:val="18"/>
                                <w:szCs w:val="18"/>
                                <w:lang w:val="en-US" w:eastAsia="zh-CN"/>
                              </w:rPr>
                              <w:t>规格代号（一次冻结量kg,以阿拉伯数字表示）母和数字表示规</w:t>
                            </w:r>
                            <w:r>
                              <w:rPr>
                                <w:rFonts w:hint="eastAsia"/>
                                <w:sz w:val="18"/>
                                <w:szCs w:val="18"/>
                              </w:rPr>
                              <w:t>格代号</w:t>
                            </w:r>
                            <w:r>
                              <w:rPr>
                                <w:rFonts w:hint="eastAsia"/>
                                <w:sz w:val="18"/>
                                <w:szCs w:val="18"/>
                                <w:lang w:eastAsia="zh-CN"/>
                              </w:rPr>
                              <w:t>（</w:t>
                            </w:r>
                            <w:r>
                              <w:rPr>
                                <w:rFonts w:hint="eastAsia"/>
                                <w:sz w:val="18"/>
                                <w:szCs w:val="18"/>
                              </w:rPr>
                              <w:t>一次冻结量kg,以阿拉伯数字表示</w:t>
                            </w:r>
                            <w:r>
                              <w:rPr>
                                <w:rFonts w:hint="eastAsia"/>
                                <w:sz w:val="18"/>
                                <w:szCs w:val="18"/>
                                <w:lang w:eastAsia="zh-CN"/>
                              </w:rPr>
                              <w: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4.4pt;margin-top:1.3pt;height:56.9pt;width:273.85pt;z-index:251669504;mso-width-relative:page;mso-height-relative:page;" fillcolor="#FFFFFF" filled="t" stroked="f" coordsize="21600,21600" o:gfxdata="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lb/vNcAAAAJAQAADwAAAAAAAAABACAAAAAiAAAAZHJzL2Rv&#10;d25yZXYueG1sUEsBAhQAFAAAAAgAh07iQK/+oUo7AgAAUwQAAA4AAAAAAAAAAQAgAAAAJgEAAGRy&#10;cy9lMm9Eb2MueG1sUEsFBgAAAAAGAAYAWQEAANMFAAAAAA==&#10;">
                <v:fill on="t" focussize="0,0"/>
                <v:stroke on="f" miterlimit="8" joinstyle="miter"/>
                <v:imagedata o:title=""/>
                <o:lock v:ext="edit" aspectratio="f"/>
                <v:textbox>
                  <w:txbxContent>
                    <w:p>
                      <w:pPr>
                        <w:pStyle w:val="23"/>
                        <w:ind w:left="0" w:leftChars="0" w:firstLine="0" w:firstLineChars="0"/>
                        <w:rPr>
                          <w:rFonts w:hint="eastAsia" w:eastAsia="宋体"/>
                          <w:sz w:val="18"/>
                          <w:szCs w:val="18"/>
                          <w:lang w:eastAsia="zh-CN"/>
                        </w:rPr>
                      </w:pPr>
                      <w:r>
                        <w:rPr>
                          <w:rFonts w:hint="eastAsia"/>
                          <w:sz w:val="18"/>
                          <w:szCs w:val="18"/>
                          <w:lang w:val="en-US" w:eastAsia="zh-CN"/>
                        </w:rPr>
                        <w:t>规格代号（一次冻结量kg,以阿拉伯数字表示）母和数字表示规</w:t>
                      </w:r>
                      <w:r>
                        <w:rPr>
                          <w:rFonts w:hint="eastAsia"/>
                          <w:sz w:val="18"/>
                          <w:szCs w:val="18"/>
                        </w:rPr>
                        <w:t>格代号</w:t>
                      </w:r>
                      <w:r>
                        <w:rPr>
                          <w:rFonts w:hint="eastAsia"/>
                          <w:sz w:val="18"/>
                          <w:szCs w:val="18"/>
                          <w:lang w:eastAsia="zh-CN"/>
                        </w:rPr>
                        <w:t>（</w:t>
                      </w:r>
                      <w:r>
                        <w:rPr>
                          <w:rFonts w:hint="eastAsia"/>
                          <w:sz w:val="18"/>
                          <w:szCs w:val="18"/>
                        </w:rPr>
                        <w:t>一次冻结量kg,以阿拉伯数字表示</w:t>
                      </w:r>
                      <w:r>
                        <w:rPr>
                          <w:rFonts w:hint="eastAsia"/>
                          <w:sz w:val="18"/>
                          <w:szCs w:val="18"/>
                          <w:lang w:eastAsia="zh-CN"/>
                        </w:rPr>
                        <w:t>）</w:t>
                      </w:r>
                    </w:p>
                  </w:txbxContent>
                </v:textbox>
              </v:shape>
            </w:pict>
          </mc:Fallback>
        </mc:AlternateContent>
      </w:r>
      <w:r>
        <w:rPr>
          <w:rFonts w:hint="eastAsia"/>
        </w:rPr>
        <w:t xml:space="preserve">                                           </w:t>
      </w:r>
    </w:p>
    <w:p>
      <w:pPr>
        <w:pStyle w:val="23"/>
        <w:ind w:firstLine="640"/>
      </w:pPr>
      <w:r>
        <w:rPr>
          <w:rFonts w:hint="eastAsia"/>
        </w:rPr>
        <w:t xml:space="preserve">                                     </w:t>
      </w:r>
    </w:p>
    <w:p>
      <w:pPr>
        <w:pStyle w:val="23"/>
        <w:ind w:firstLine="420"/>
      </w:pPr>
      <w:r>
        <w:rPr>
          <w:szCs w:val="21"/>
        </w:rPr>
        <mc:AlternateContent>
          <mc:Choice Requires="wps">
            <w:drawing>
              <wp:anchor distT="0" distB="0" distL="114300" distR="114300" simplePos="0" relativeHeight="251670528" behindDoc="0" locked="0" layoutInCell="1" allowOverlap="1">
                <wp:simplePos x="0" y="0"/>
                <wp:positionH relativeFrom="column">
                  <wp:posOffset>2874010</wp:posOffset>
                </wp:positionH>
                <wp:positionV relativeFrom="paragraph">
                  <wp:posOffset>66040</wp:posOffset>
                </wp:positionV>
                <wp:extent cx="3427095" cy="286385"/>
                <wp:effectExtent l="0" t="0" r="1905" b="0"/>
                <wp:wrapNone/>
                <wp:docPr id="2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7095" cy="286101"/>
                        </a:xfrm>
                        <a:prstGeom prst="rect">
                          <a:avLst/>
                        </a:prstGeom>
                        <a:solidFill>
                          <a:srgbClr val="FFFFFF"/>
                        </a:solidFill>
                        <a:ln w="9525">
                          <a:noFill/>
                          <a:miter lim="800000"/>
                        </a:ln>
                      </wps:spPr>
                      <wps:txbx>
                        <w:txbxContent>
                          <w:p>
                            <w:pPr>
                              <w:rPr>
                                <w:rFonts w:hint="eastAsia" w:ascii="宋体" w:hAnsi="Times New Roman" w:eastAsia="宋体" w:cstheme="minorBidi"/>
                                <w:kern w:val="0"/>
                                <w:sz w:val="18"/>
                                <w:szCs w:val="18"/>
                                <w:lang w:val="en-US" w:eastAsia="zh-CN" w:bidi="ar-SA"/>
                              </w:rPr>
                            </w:pPr>
                            <w:r>
                              <w:rPr>
                                <w:rFonts w:hint="eastAsia" w:ascii="宋体" w:hAnsi="Times New Roman" w:eastAsia="宋体" w:cstheme="minorBidi"/>
                                <w:kern w:val="0"/>
                                <w:sz w:val="18"/>
                                <w:szCs w:val="18"/>
                                <w:lang w:val="en-US" w:eastAsia="zh-CN" w:bidi="ar-SA"/>
                              </w:rPr>
                              <w:t>用途分类</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C</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冷却</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F</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冻结</w:t>
                            </w:r>
                            <w:r>
                              <w:rPr>
                                <w:rFonts w:hint="eastAsia" w:cstheme="minorBidi"/>
                                <w:kern w:val="0"/>
                                <w:sz w:val="18"/>
                                <w:szCs w:val="18"/>
                                <w:lang w:val="en-US" w:eastAsia="zh-CN" w:bidi="ar-SA"/>
                              </w:rPr>
                              <w: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26.3pt;margin-top:5.2pt;height:22.55pt;width:269.85pt;z-index:251670528;mso-width-relative:page;mso-height-relative:page;" fillcolor="#FFFFFF" filled="t" stroked="f" coordsize="21600,21600" o:gfxdata="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uxdGg1wAAAAkBAAAPAAAAAAAAAAEAIAAAACIAAABkcnMvZG93&#10;bnJldi54bWxQSwECFAAUAAAACACHTuJA3A0aXDoCAABTBAAADgAAAAAAAAABACAAAAAmAQAAZHJz&#10;L2Uyb0RvYy54bWxQSwUGAAAAAAYABgBZAQAA0gUAAAAA&#10;">
                <v:fill on="t" focussize="0,0"/>
                <v:stroke on="f" miterlimit="8" joinstyle="miter"/>
                <v:imagedata o:title=""/>
                <o:lock v:ext="edit" aspectratio="f"/>
                <v:textbox>
                  <w:txbxContent>
                    <w:p>
                      <w:pPr>
                        <w:rPr>
                          <w:rFonts w:hint="eastAsia" w:ascii="宋体" w:hAnsi="Times New Roman" w:eastAsia="宋体" w:cstheme="minorBidi"/>
                          <w:kern w:val="0"/>
                          <w:sz w:val="18"/>
                          <w:szCs w:val="18"/>
                          <w:lang w:val="en-US" w:eastAsia="zh-CN" w:bidi="ar-SA"/>
                        </w:rPr>
                      </w:pPr>
                      <w:r>
                        <w:rPr>
                          <w:rFonts w:hint="eastAsia" w:ascii="宋体" w:hAnsi="Times New Roman" w:eastAsia="宋体" w:cstheme="minorBidi"/>
                          <w:kern w:val="0"/>
                          <w:sz w:val="18"/>
                          <w:szCs w:val="18"/>
                          <w:lang w:val="en-US" w:eastAsia="zh-CN" w:bidi="ar-SA"/>
                        </w:rPr>
                        <w:t>用途分类</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C</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冷却</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F</w:t>
                      </w:r>
                      <w:r>
                        <w:rPr>
                          <w:rFonts w:hint="eastAsia" w:cstheme="minorBidi"/>
                          <w:kern w:val="0"/>
                          <w:sz w:val="18"/>
                          <w:szCs w:val="18"/>
                          <w:lang w:val="en-US" w:eastAsia="zh-CN" w:bidi="ar-SA"/>
                        </w:rPr>
                        <w:t>：</w:t>
                      </w:r>
                      <w:r>
                        <w:rPr>
                          <w:rFonts w:hint="eastAsia" w:ascii="宋体" w:hAnsi="Times New Roman" w:eastAsia="宋体" w:cstheme="minorBidi"/>
                          <w:kern w:val="0"/>
                          <w:sz w:val="18"/>
                          <w:szCs w:val="18"/>
                          <w:lang w:val="en-US" w:eastAsia="zh-CN" w:bidi="ar-SA"/>
                        </w:rPr>
                        <w:t>冻结</w:t>
                      </w:r>
                      <w:r>
                        <w:rPr>
                          <w:rFonts w:hint="eastAsia" w:cstheme="minorBidi"/>
                          <w:kern w:val="0"/>
                          <w:sz w:val="18"/>
                          <w:szCs w:val="18"/>
                          <w:lang w:val="en-US" w:eastAsia="zh-CN" w:bidi="ar-SA"/>
                        </w:rPr>
                        <w:t>）</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1074420</wp:posOffset>
                </wp:positionH>
                <wp:positionV relativeFrom="paragraph">
                  <wp:posOffset>172720</wp:posOffset>
                </wp:positionV>
                <wp:extent cx="1648460" cy="0"/>
                <wp:effectExtent l="0" t="0" r="27940" b="19050"/>
                <wp:wrapNone/>
                <wp:docPr id="8" name="Line 7"/>
                <wp:cNvGraphicFramePr/>
                <a:graphic xmlns:a="http://schemas.openxmlformats.org/drawingml/2006/main">
                  <a:graphicData uri="http://schemas.microsoft.com/office/word/2010/wordprocessingShape">
                    <wps:wsp>
                      <wps:cNvCnPr/>
                      <wps:spPr bwMode="auto">
                        <a:xfrm>
                          <a:off x="0" y="0"/>
                          <a:ext cx="1648460" cy="0"/>
                        </a:xfrm>
                        <a:prstGeom prst="line">
                          <a:avLst/>
                        </a:prstGeom>
                        <a:noFill/>
                        <a:ln w="9525">
                          <a:solidFill>
                            <a:srgbClr val="000000"/>
                          </a:solidFill>
                          <a:prstDash val="solid"/>
                          <a:round/>
                        </a:ln>
                      </wps:spPr>
                      <wps:bodyPr/>
                    </wps:wsp>
                  </a:graphicData>
                </a:graphic>
              </wp:anchor>
            </w:drawing>
          </mc:Choice>
          <mc:Fallback>
            <w:pict>
              <v:line id="Line 7" o:spid="_x0000_s1026" o:spt="20" style="position:absolute;left:0pt;margin-left:84.6pt;margin-top:13.6pt;height:0pt;width:129.8pt;z-index:251663360;mso-width-relative:page;mso-height-relative:page;" filled="f" stroked="t" coordsize="21600,21600" o:gfxdata="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ZR5Z/WAAAACQEAAA8AAAAAAAAAAQAgAAAAIgAAAGRycy9kb3ducmV2LnhtbFBLAQIUABQA&#10;AAAIAIdO4kB0WByYuQEAAIYDAAAOAAAAAAAAAAEAIAAAACUBAABkcnMvZTJvRG9jLnhtbFBLBQYA&#10;AAAABgAGAFkBAABQBQAAAAA=&#10;">
                <v:fill on="f" focussize="0,0"/>
                <v:stroke color="#000000" joinstyle="round"/>
                <v:imagedata o:title=""/>
                <o:lock v:ext="edit" aspectratio="f"/>
              </v:line>
            </w:pict>
          </mc:Fallback>
        </mc:AlternateContent>
      </w:r>
      <w:r>
        <w:rPr>
          <w:rFonts w:hint="eastAsia"/>
        </w:rPr>
        <w:t xml:space="preserve">                                      </w:t>
      </w:r>
    </w:p>
    <w:p>
      <w:pPr>
        <w:pStyle w:val="23"/>
        <w:ind w:firstLine="420"/>
      </w:pPr>
      <w:r>
        <w:rPr>
          <w:szCs w:val="21"/>
        </w:rPr>
        <mc:AlternateContent>
          <mc:Choice Requires="wps">
            <w:drawing>
              <wp:anchor distT="0" distB="0" distL="114300" distR="114300" simplePos="0" relativeHeight="251671552" behindDoc="0" locked="0" layoutInCell="1" allowOverlap="1">
                <wp:simplePos x="0" y="0"/>
                <wp:positionH relativeFrom="column">
                  <wp:posOffset>2825115</wp:posOffset>
                </wp:positionH>
                <wp:positionV relativeFrom="paragraph">
                  <wp:posOffset>125730</wp:posOffset>
                </wp:positionV>
                <wp:extent cx="3427095" cy="285750"/>
                <wp:effectExtent l="0" t="0" r="1905" b="0"/>
                <wp:wrapNone/>
                <wp:docPr id="2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7095" cy="285750"/>
                        </a:xfrm>
                        <a:prstGeom prst="rect">
                          <a:avLst/>
                        </a:prstGeom>
                        <a:solidFill>
                          <a:srgbClr val="FFFFFF"/>
                        </a:solidFill>
                        <a:ln w="9525">
                          <a:noFill/>
                          <a:miter lim="800000"/>
                        </a:ln>
                      </wps:spPr>
                      <wps:txbx>
                        <w:txbxContent>
                          <w:p>
                            <w:pPr>
                              <w:rPr>
                                <w:rFonts w:hint="eastAsia" w:ascii="宋体" w:hAnsi="Times New Roman" w:eastAsia="宋体" w:cstheme="minorBidi"/>
                                <w:kern w:val="0"/>
                                <w:sz w:val="18"/>
                                <w:szCs w:val="18"/>
                                <w:lang w:val="en-US" w:eastAsia="zh-CN" w:bidi="ar-SA"/>
                              </w:rPr>
                            </w:pPr>
                            <w:r>
                              <w:rPr>
                                <w:rFonts w:hint="eastAsia" w:ascii="宋体" w:hAnsi="Times New Roman" w:eastAsia="宋体" w:cstheme="minorBidi"/>
                                <w:kern w:val="0"/>
                                <w:sz w:val="18"/>
                                <w:szCs w:val="18"/>
                                <w:lang w:val="en-US" w:eastAsia="zh-CN" w:bidi="ar-SA"/>
                              </w:rPr>
                              <w:t>产品代号：快速冷却柜和快速冻结柜</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22.45pt;margin-top:9.9pt;height:22.5pt;width:269.85pt;z-index:251671552;mso-width-relative:page;mso-height-relative:page;" fillcolor="#FFFFFF" filled="t" stroked="f" coordsize="21600,21600" o:gfxdata="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BLkqNYAAAAJAQAADwAAAAAAAAABACAAAAAiAAAAZHJzL2Rvd25y&#10;ZXYueG1sUEsBAhQAFAAAAAgAh07iQGAYFug5AgAAUwQAAA4AAAAAAAAAAQAgAAAAJQEAAGRycy9l&#10;Mm9Eb2MueG1sUEsFBgAAAAAGAAYAWQEAANAFAAAAAA==&#10;">
                <v:fill on="t" focussize="0,0"/>
                <v:stroke on="f" miterlimit="8" joinstyle="miter"/>
                <v:imagedata o:title=""/>
                <o:lock v:ext="edit" aspectratio="f"/>
                <v:textbox>
                  <w:txbxContent>
                    <w:p>
                      <w:pPr>
                        <w:rPr>
                          <w:rFonts w:hint="eastAsia" w:ascii="宋体" w:hAnsi="Times New Roman" w:eastAsia="宋体" w:cstheme="minorBidi"/>
                          <w:kern w:val="0"/>
                          <w:sz w:val="18"/>
                          <w:szCs w:val="18"/>
                          <w:lang w:val="en-US" w:eastAsia="zh-CN" w:bidi="ar-SA"/>
                        </w:rPr>
                      </w:pPr>
                      <w:r>
                        <w:rPr>
                          <w:rFonts w:hint="eastAsia" w:ascii="宋体" w:hAnsi="Times New Roman" w:eastAsia="宋体" w:cstheme="minorBidi"/>
                          <w:kern w:val="0"/>
                          <w:sz w:val="18"/>
                          <w:szCs w:val="18"/>
                          <w:lang w:val="en-US" w:eastAsia="zh-CN" w:bidi="ar-SA"/>
                        </w:rPr>
                        <w:t>产品代号：快速冷却柜和快速冻结柜</w:t>
                      </w:r>
                    </w:p>
                  </w:txbxContent>
                </v:textbox>
              </v:shape>
            </w:pict>
          </mc:Fallback>
        </mc:AlternateContent>
      </w:r>
      <w:r>
        <w:rPr>
          <w:rFonts w:hint="eastAsia"/>
        </w:rPr>
        <w:t xml:space="preserve">                                     </w:t>
      </w:r>
    </w:p>
    <w:p>
      <w:pPr>
        <w:pStyle w:val="23"/>
        <w:ind w:firstLine="420"/>
      </w:pPr>
    </w:p>
    <w:p>
      <w:pPr>
        <w:pStyle w:val="23"/>
        <w:ind w:firstLine="420"/>
        <w:rPr>
          <w:rFonts w:hint="eastAsia"/>
          <w:sz w:val="18"/>
          <w:szCs w:val="18"/>
          <w:lang w:val="en-US" w:eastAsia="zh-CN"/>
        </w:rPr>
      </w:pPr>
      <w:r>
        <w:rPr>
          <w:rFonts w:hint="eastAsia" w:ascii="黑体" w:hAnsi="黑体" w:eastAsia="黑体" w:cs="黑体"/>
          <w:sz w:val="18"/>
          <w:szCs w:val="18"/>
          <w:lang w:val="en-US" w:eastAsia="zh-CN"/>
        </w:rPr>
        <w:t>示例：</w:t>
      </w:r>
    </w:p>
    <w:p>
      <w:pPr>
        <w:pStyle w:val="23"/>
        <w:ind w:firstLine="420"/>
        <w:rPr>
          <w:sz w:val="18"/>
          <w:szCs w:val="18"/>
        </w:rPr>
      </w:pPr>
      <w:r>
        <w:rPr>
          <w:rFonts w:hint="eastAsia"/>
          <w:sz w:val="18"/>
          <w:szCs w:val="18"/>
        </w:rPr>
        <w:t>BF20A表示第一次改进设计的冻结量</w:t>
      </w:r>
      <w:r>
        <w:rPr>
          <w:rFonts w:hint="eastAsia"/>
          <w:sz w:val="18"/>
          <w:szCs w:val="18"/>
          <w:lang w:eastAsia="zh-CN"/>
        </w:rPr>
        <w:t>为</w:t>
      </w:r>
      <w:r>
        <w:rPr>
          <w:rFonts w:hint="eastAsia"/>
          <w:sz w:val="18"/>
          <w:szCs w:val="18"/>
        </w:rPr>
        <w:t>20</w:t>
      </w:r>
      <w:r>
        <w:rPr>
          <w:rFonts w:hint="eastAsia"/>
          <w:sz w:val="18"/>
          <w:szCs w:val="18"/>
          <w:lang w:val="en-US" w:eastAsia="zh-CN"/>
        </w:rPr>
        <w:t xml:space="preserve"> </w:t>
      </w:r>
      <w:r>
        <w:rPr>
          <w:rFonts w:hint="eastAsia"/>
          <w:sz w:val="18"/>
          <w:szCs w:val="18"/>
        </w:rPr>
        <w:t>kg的快速冻结柜。</w:t>
      </w:r>
    </w:p>
    <w:p>
      <w:pPr>
        <w:pStyle w:val="119"/>
        <w:spacing w:before="156" w:after="156"/>
        <w:ind w:left="0"/>
      </w:pPr>
      <w:r>
        <w:t>环境温度</w:t>
      </w:r>
    </w:p>
    <w:p>
      <w:pPr>
        <w:pStyle w:val="23"/>
        <w:ind w:firstLine="420"/>
      </w:pPr>
      <w:r>
        <w:rPr>
          <w:rFonts w:hint="eastAsia"/>
        </w:rPr>
        <w:t>在表1所规定的工作温度范围内,快速冷却柜和快速冻结柜应该能正常使用。</w:t>
      </w:r>
    </w:p>
    <w:p>
      <w:pPr>
        <w:pStyle w:val="208"/>
        <w:tabs>
          <w:tab w:val="left" w:pos="0"/>
        </w:tabs>
        <w:spacing w:before="156" w:after="156"/>
        <w:rPr>
          <w:w w:val="105"/>
        </w:rPr>
      </w:pPr>
      <w:r>
        <w:rPr>
          <w:w w:val="105"/>
        </w:rPr>
        <w:t>气候类型</w:t>
      </w:r>
    </w:p>
    <w:tbl>
      <w:tblPr>
        <w:tblStyle w:val="260"/>
        <w:tblW w:w="96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0"/>
        <w:gridCol w:w="1762"/>
        <w:gridCol w:w="1591"/>
        <w:gridCol w:w="1591"/>
        <w:gridCol w:w="1545"/>
        <w:gridCol w:w="1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气候类型</w:t>
            </w:r>
          </w:p>
        </w:tc>
        <w:tc>
          <w:tcPr>
            <w:tcW w:w="1762"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干球温度</w:t>
            </w:r>
            <w:r>
              <w:rPr>
                <w:rFonts w:hint="eastAsia" w:hAnsi="宋体" w:cs="宋体"/>
                <w:w w:val="105"/>
                <w:sz w:val="18"/>
                <w:szCs w:val="18"/>
              </w:rPr>
              <w:t>,</w:t>
            </w:r>
            <w:r>
              <w:rPr>
                <w:rFonts w:hint="eastAsia" w:hAnsi="宋体" w:cs="宋体"/>
                <w:w w:val="105"/>
                <w:sz w:val="18"/>
                <w:szCs w:val="18"/>
                <w:lang w:eastAsia="en-US"/>
              </w:rPr>
              <w:t>℃</w:t>
            </w:r>
          </w:p>
        </w:tc>
        <w:tc>
          <w:tcPr>
            <w:tcW w:w="1591"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相对湿度</w:t>
            </w:r>
            <w:r>
              <w:rPr>
                <w:rFonts w:hint="eastAsia" w:hAnsi="宋体" w:cs="宋体"/>
                <w:w w:val="105"/>
                <w:sz w:val="18"/>
                <w:szCs w:val="18"/>
              </w:rPr>
              <w:t>,</w:t>
            </w:r>
            <w:r>
              <w:rPr>
                <w:rFonts w:hint="eastAsia" w:hAnsi="宋体" w:cs="宋体"/>
                <w:w w:val="105"/>
                <w:sz w:val="18"/>
                <w:szCs w:val="18"/>
                <w:lang w:eastAsia="en-US"/>
              </w:rPr>
              <w:t>%</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露点温度</w:t>
            </w:r>
            <w:r>
              <w:rPr>
                <w:rFonts w:hint="eastAsia" w:hAnsi="宋体" w:cs="宋体"/>
                <w:w w:val="105"/>
                <w:sz w:val="18"/>
                <w:szCs w:val="18"/>
              </w:rPr>
              <w:t>,</w:t>
            </w:r>
            <w:r>
              <w:rPr>
                <w:rFonts w:hint="eastAsia" w:hAnsi="宋体" w:cs="宋体"/>
                <w:w w:val="105"/>
                <w:sz w:val="18"/>
                <w:szCs w:val="18"/>
                <w:lang w:eastAsia="en-US"/>
              </w:rPr>
              <w:t>℃</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含湿量</w:t>
            </w:r>
            <w:r>
              <w:rPr>
                <w:rFonts w:hint="eastAsia" w:hAnsi="宋体" w:cs="宋体"/>
                <w:w w:val="105"/>
                <w:sz w:val="18"/>
                <w:szCs w:val="18"/>
              </w:rPr>
              <w:t>,</w:t>
            </w:r>
            <w:r>
              <w:rPr>
                <w:rFonts w:hint="eastAsia" w:hAnsi="宋体" w:cs="宋体"/>
                <w:w w:val="105"/>
                <w:sz w:val="18"/>
                <w:szCs w:val="18"/>
                <w:lang w:eastAsia="en-US"/>
              </w:rPr>
              <w:t>g/kg</w:t>
            </w:r>
          </w:p>
        </w:tc>
        <w:tc>
          <w:tcPr>
            <w:tcW w:w="1748" w:type="dxa"/>
            <w:vAlign w:val="center"/>
          </w:tcPr>
          <w:p>
            <w:pPr>
              <w:pStyle w:val="259"/>
              <w:spacing w:before="0"/>
              <w:ind w:left="200" w:right="58" w:firstLine="17" w:firstLineChars="9"/>
              <w:jc w:val="center"/>
              <w:rPr>
                <w:rFonts w:hAnsi="宋体" w:cs="宋体"/>
                <w:w w:val="105"/>
                <w:sz w:val="18"/>
                <w:szCs w:val="18"/>
                <w:lang w:eastAsia="en-US"/>
              </w:rPr>
            </w:pPr>
            <w:r>
              <w:rPr>
                <w:rFonts w:hint="eastAsia" w:hAnsi="宋体" w:cs="宋体"/>
                <w:w w:val="105"/>
                <w:sz w:val="18"/>
                <w:szCs w:val="18"/>
                <w:lang w:eastAsia="en-US"/>
              </w:rPr>
              <w:t>工作温度范围</w:t>
            </w:r>
            <w:r>
              <w:rPr>
                <w:rFonts w:hint="eastAsia" w:hAnsi="宋体" w:cs="宋体"/>
                <w:w w:val="105"/>
                <w:sz w:val="18"/>
                <w:szCs w:val="18"/>
              </w:rPr>
              <w:t>,</w:t>
            </w:r>
            <w:r>
              <w:rPr>
                <w:rFonts w:hint="eastAsia" w:hAnsi="宋体" w:cs="宋体"/>
                <w:w w:val="105"/>
                <w:sz w:val="18"/>
                <w:szCs w:val="18"/>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0</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50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9.3</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7.3</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10</w:t>
            </w:r>
            <w:bookmarkStart w:id="11" w:name="OLE_LINK1"/>
            <w:r>
              <w:rPr>
                <w:rFonts w:hint="eastAsia" w:hAnsi="宋体" w:cs="宋体"/>
                <w:w w:val="105"/>
                <w:sz w:val="18"/>
                <w:szCs w:val="18"/>
                <w:lang w:eastAsia="en-US"/>
              </w:rPr>
              <w:t>～</w:t>
            </w:r>
            <w:bookmarkEnd w:id="11"/>
            <w:r>
              <w:rPr>
                <w:rFonts w:hint="eastAsia" w:hAnsi="宋体" w:cs="宋体"/>
                <w:w w:val="105"/>
                <w:sz w:val="18"/>
                <w:szCs w:val="18"/>
                <w:lang w:eastAsia="en-US"/>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80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12.6</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9.1</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8</w:t>
            </w:r>
          </w:p>
        </w:tc>
        <w:tc>
          <w:tcPr>
            <w:tcW w:w="1762"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2</w:t>
            </w:r>
            <w:r>
              <w:rPr>
                <w:rFonts w:hint="eastAsia" w:hAnsi="宋体" w:cs="宋体"/>
                <w:w w:val="105"/>
                <w:sz w:val="18"/>
                <w:szCs w:val="18"/>
              </w:rPr>
              <w:t>3.9</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55</w:t>
            </w:r>
          </w:p>
        </w:tc>
        <w:tc>
          <w:tcPr>
            <w:tcW w:w="1591"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14.</w:t>
            </w:r>
            <w:r>
              <w:rPr>
                <w:rFonts w:hint="eastAsia" w:hAnsi="宋体" w:cs="宋体"/>
                <w:w w:val="105"/>
                <w:sz w:val="18"/>
                <w:szCs w:val="18"/>
              </w:rPr>
              <w:t>3</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10.2</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w:t>
            </w:r>
            <w:r>
              <w:rPr>
                <w:rFonts w:hint="eastAsia" w:hAnsi="宋体" w:cs="宋体"/>
                <w:w w:val="105"/>
                <w:sz w:val="18"/>
                <w:szCs w:val="18"/>
              </w:rPr>
              <w:t>6</w:t>
            </w:r>
            <w:r>
              <w:rPr>
                <w:rFonts w:hint="eastAsia" w:hAnsi="宋体" w:cs="宋体"/>
                <w:w w:val="105"/>
                <w:sz w:val="18"/>
                <w:szCs w:val="18"/>
                <w:lang w:eastAsia="en-US"/>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22</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65</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15.2</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10.8</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3</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25</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60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16.7</w:t>
            </w:r>
          </w:p>
        </w:tc>
        <w:tc>
          <w:tcPr>
            <w:tcW w:w="1545"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12</w:t>
            </w:r>
            <w:r>
              <w:rPr>
                <w:rFonts w:hint="eastAsia" w:hAnsi="宋体" w:cs="宋体"/>
                <w:w w:val="105"/>
                <w:sz w:val="18"/>
                <w:szCs w:val="18"/>
              </w:rPr>
              <w:t>.0</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4</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30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55</w:t>
            </w:r>
          </w:p>
        </w:tc>
        <w:tc>
          <w:tcPr>
            <w:tcW w:w="1591"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20</w:t>
            </w:r>
            <w:r>
              <w:rPr>
                <w:rFonts w:hint="eastAsia" w:hAnsi="宋体" w:cs="宋体"/>
                <w:w w:val="105"/>
                <w:sz w:val="18"/>
                <w:szCs w:val="18"/>
              </w:rPr>
              <w:t>.0</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14.8</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6</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27</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70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21.1</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15.8</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5</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40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40</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23.9</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18.8</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7</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35</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75</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30.0</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27.3</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9</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32</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65</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24.6</w:t>
            </w:r>
          </w:p>
        </w:tc>
        <w:tc>
          <w:tcPr>
            <w:tcW w:w="1545"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19.6</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10</w:t>
            </w:r>
          </w:p>
        </w:tc>
        <w:tc>
          <w:tcPr>
            <w:tcW w:w="1762"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41</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75</w:t>
            </w:r>
          </w:p>
        </w:tc>
        <w:tc>
          <w:tcPr>
            <w:tcW w:w="1591"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35.7</w:t>
            </w:r>
          </w:p>
        </w:tc>
        <w:tc>
          <w:tcPr>
            <w:tcW w:w="1545" w:type="dxa"/>
            <w:vAlign w:val="center"/>
          </w:tcPr>
          <w:p>
            <w:pPr>
              <w:pStyle w:val="259"/>
              <w:spacing w:before="0"/>
              <w:ind w:left="235" w:right="150" w:firstLine="18" w:firstLineChars="10"/>
              <w:jc w:val="center"/>
              <w:rPr>
                <w:rFonts w:hAnsi="宋体" w:cs="宋体"/>
                <w:w w:val="105"/>
                <w:sz w:val="18"/>
                <w:szCs w:val="18"/>
              </w:rPr>
            </w:pPr>
            <w:r>
              <w:rPr>
                <w:rFonts w:hint="eastAsia" w:hAnsi="宋体" w:cs="宋体"/>
                <w:w w:val="105"/>
                <w:sz w:val="18"/>
                <w:szCs w:val="18"/>
                <w:lang w:eastAsia="en-US"/>
              </w:rPr>
              <w:t>38</w:t>
            </w:r>
            <w:r>
              <w:rPr>
                <w:rFonts w:hint="eastAsia" w:hAnsi="宋体" w:cs="宋体"/>
                <w:w w:val="105"/>
                <w:sz w:val="18"/>
                <w:szCs w:val="18"/>
              </w:rPr>
              <w:t>.0</w:t>
            </w:r>
          </w:p>
        </w:tc>
        <w:tc>
          <w:tcPr>
            <w:tcW w:w="1748" w:type="dxa"/>
            <w:vAlign w:val="center"/>
          </w:tcPr>
          <w:p>
            <w:pPr>
              <w:pStyle w:val="259"/>
              <w:spacing w:before="0"/>
              <w:ind w:left="235" w:right="150" w:firstLine="18" w:firstLineChars="10"/>
              <w:jc w:val="center"/>
              <w:rPr>
                <w:rFonts w:hAnsi="宋体" w:cs="宋体"/>
                <w:w w:val="105"/>
                <w:sz w:val="18"/>
                <w:szCs w:val="18"/>
                <w:lang w:eastAsia="en-US"/>
              </w:rPr>
            </w:pPr>
            <w:r>
              <w:rPr>
                <w:rFonts w:hint="eastAsia" w:hAnsi="宋体" w:cs="宋体"/>
                <w:w w:val="105"/>
                <w:sz w:val="18"/>
                <w:szCs w:val="18"/>
                <w:lang w:eastAsia="en-US"/>
              </w:rPr>
              <w:t>16～43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9657" w:type="dxa"/>
            <w:gridSpan w:val="6"/>
          </w:tcPr>
          <w:p>
            <w:pPr>
              <w:pStyle w:val="264"/>
              <w:keepNext w:val="0"/>
              <w:keepLines w:val="0"/>
              <w:pageBreakBefore w:val="0"/>
              <w:widowControl w:val="0"/>
              <w:tabs>
                <w:tab w:val="left" w:pos="850"/>
              </w:tabs>
              <w:kinsoku/>
              <w:wordWrap/>
              <w:overflowPunct/>
              <w:topLinePunct w:val="0"/>
              <w:autoSpaceDE w:val="0"/>
              <w:autoSpaceDN w:val="0"/>
              <w:bidi w:val="0"/>
              <w:adjustRightInd/>
              <w:snapToGrid/>
              <w:ind w:left="737" w:hanging="374"/>
              <w:textAlignment w:val="auto"/>
              <w:rPr>
                <w:rFonts w:hAnsi="宋体" w:cs="宋体"/>
                <w:sz w:val="18"/>
                <w:szCs w:val="18"/>
              </w:rPr>
            </w:pPr>
            <w:r>
              <w:rPr>
                <w:rFonts w:hint="eastAsia" w:hAnsi="宋体" w:cs="黑体"/>
                <w:w w:val="105"/>
                <w:sz w:val="18"/>
                <w:szCs w:val="18"/>
              </w:rPr>
              <w:t>本表是按空气中水蒸气质量与干空气质量的比值(含湿量)来排列的,它是影响冷柜性能和能耗的重要参数，因此本表中气候类型的顺序是根据含湿量那一列排序的。0-8级的类型与GB/T</w:t>
            </w:r>
            <w:r>
              <w:rPr>
                <w:rFonts w:hint="eastAsia" w:hAnsi="宋体" w:cs="黑体"/>
                <w:w w:val="105"/>
                <w:sz w:val="18"/>
                <w:szCs w:val="18"/>
                <w:lang w:val="en-US" w:eastAsia="zh-CN"/>
              </w:rPr>
              <w:t xml:space="preserve"> </w:t>
            </w:r>
            <w:r>
              <w:rPr>
                <w:rFonts w:hint="eastAsia" w:hAnsi="宋体" w:cs="黑体"/>
                <w:w w:val="105"/>
                <w:sz w:val="18"/>
                <w:szCs w:val="18"/>
              </w:rPr>
              <w:t>21001.2-2015的表3-致,9-10级的类型与SB/T</w:t>
            </w:r>
            <w:r>
              <w:rPr>
                <w:rFonts w:hint="eastAsia" w:hAnsi="宋体" w:cs="黑体"/>
                <w:w w:val="105"/>
                <w:sz w:val="18"/>
                <w:szCs w:val="18"/>
                <w:lang w:val="en-US" w:eastAsia="zh-CN"/>
              </w:rPr>
              <w:t xml:space="preserve"> </w:t>
            </w:r>
            <w:r>
              <w:rPr>
                <w:rFonts w:hint="eastAsia" w:hAnsi="宋体" w:cs="黑体"/>
                <w:w w:val="105"/>
                <w:sz w:val="18"/>
                <w:szCs w:val="18"/>
              </w:rPr>
              <w:t>10794.2-2012的表3一致。</w:t>
            </w:r>
            <w:r>
              <w:rPr>
                <w:rFonts w:hint="eastAsia" w:hAnsi="宋体" w:cs="宋体"/>
                <w:w w:val="105"/>
                <w:sz w:val="18"/>
                <w:szCs w:val="18"/>
              </w:rPr>
              <w:t xml:space="preserve"> </w:t>
            </w:r>
          </w:p>
        </w:tc>
      </w:tr>
    </w:tbl>
    <w:p>
      <w:pPr>
        <w:pStyle w:val="119"/>
        <w:spacing w:before="156" w:after="156"/>
        <w:ind w:left="0"/>
      </w:pPr>
      <w:r>
        <w:rPr>
          <w:rFonts w:hint="eastAsia"/>
        </w:rPr>
        <w:t>环境湿度</w:t>
      </w:r>
    </w:p>
    <w:p>
      <w:pPr>
        <w:pStyle w:val="23"/>
        <w:ind w:firstLine="420"/>
      </w:pPr>
      <w:r>
        <w:rPr>
          <w:rFonts w:hint="eastAsia"/>
        </w:rPr>
        <w:t>相对湿度不大于 90%。</w:t>
      </w:r>
    </w:p>
    <w:p>
      <w:pPr>
        <w:pStyle w:val="119"/>
        <w:spacing w:before="156" w:after="156"/>
        <w:ind w:left="0"/>
      </w:pPr>
      <w:r>
        <w:rPr>
          <w:rFonts w:hint="eastAsia"/>
        </w:rPr>
        <w:t>总容积</w:t>
      </w:r>
    </w:p>
    <w:p>
      <w:pPr>
        <w:pStyle w:val="23"/>
        <w:ind w:firstLine="420"/>
      </w:pPr>
      <w:r>
        <w:rPr>
          <w:rFonts w:hint="eastAsia"/>
        </w:rPr>
        <w:t>应能满足冷却/冻结量的要求。</w:t>
      </w:r>
    </w:p>
    <w:p>
      <w:pPr>
        <w:pStyle w:val="117"/>
        <w:spacing w:before="312" w:after="312"/>
        <w:rPr>
          <w:rFonts w:hAnsi="黑体"/>
          <w:szCs w:val="21"/>
        </w:rPr>
      </w:pPr>
      <w:r>
        <w:rPr>
          <w:rFonts w:hAnsi="黑体"/>
          <w:szCs w:val="21"/>
        </w:rPr>
        <w:t>要求</w:t>
      </w:r>
    </w:p>
    <w:p>
      <w:pPr>
        <w:pStyle w:val="119"/>
        <w:spacing w:before="156" w:after="156"/>
        <w:ind w:left="0"/>
        <w:rPr>
          <w:spacing w:val="-1"/>
        </w:rPr>
      </w:pPr>
      <w:r>
        <w:rPr>
          <w:spacing w:val="-1"/>
        </w:rPr>
        <w:t>结构和材料</w:t>
      </w:r>
    </w:p>
    <w:p>
      <w:pPr>
        <w:pStyle w:val="131"/>
        <w:widowControl w:val="0"/>
        <w:ind w:left="0"/>
        <w:rPr>
          <w:rFonts w:hint="eastAsia"/>
          <w:color w:val="auto"/>
          <w:w w:val="105"/>
          <w:highlight w:val="none"/>
        </w:rPr>
      </w:pPr>
      <w:r>
        <w:rPr>
          <w:rFonts w:hint="eastAsia"/>
          <w:color w:val="auto"/>
          <w:w w:val="105"/>
          <w:highlight w:val="none"/>
        </w:rPr>
        <w:t>快速冷却柜和快速冻结柜品所用的材料、配套件均应符合国家标准、行业标准的规定。</w:t>
      </w:r>
    </w:p>
    <w:p>
      <w:pPr>
        <w:pStyle w:val="131"/>
        <w:widowControl w:val="0"/>
        <w:ind w:left="0"/>
        <w:rPr>
          <w:rFonts w:hint="eastAsia"/>
          <w:color w:val="auto"/>
          <w:w w:val="105"/>
          <w:highlight w:val="none"/>
        </w:rPr>
      </w:pPr>
      <w:r>
        <w:rPr>
          <w:rFonts w:hint="eastAsia"/>
          <w:color w:val="auto"/>
          <w:w w:val="105"/>
          <w:highlight w:val="none"/>
        </w:rPr>
        <w:t>所用材料应满足食品卫生要求并保证安全，正常使用条件下，与食品接触的材料应无毒无污染,接触面的各类材料如不锈钢、铝合金、焊接材料等金属原材料均应符合GB 16798</w:t>
      </w:r>
      <w:r>
        <w:rPr>
          <w:rFonts w:hint="eastAsia"/>
          <w:color w:val="auto"/>
          <w:w w:val="105"/>
          <w:highlight w:val="none"/>
          <w:lang w:eastAsia="zh-CN"/>
        </w:rPr>
        <w:t>—</w:t>
      </w:r>
      <w:r>
        <w:rPr>
          <w:rFonts w:hint="eastAsia"/>
          <w:color w:val="auto"/>
          <w:w w:val="105"/>
          <w:highlight w:val="none"/>
        </w:rPr>
        <w:t>2023</w:t>
      </w:r>
      <w:r>
        <w:rPr>
          <w:rFonts w:hint="eastAsia"/>
          <w:color w:val="auto"/>
          <w:w w:val="105"/>
          <w:highlight w:val="none"/>
          <w:lang w:eastAsia="zh-CN"/>
        </w:rPr>
        <w:t>中</w:t>
      </w:r>
      <w:r>
        <w:rPr>
          <w:rFonts w:hint="eastAsia"/>
          <w:color w:val="auto"/>
          <w:w w:val="105"/>
          <w:highlight w:val="none"/>
        </w:rPr>
        <w:t>第4章有关规定。</w:t>
      </w:r>
    </w:p>
    <w:p>
      <w:pPr>
        <w:pStyle w:val="131"/>
        <w:widowControl w:val="0"/>
        <w:ind w:left="0"/>
        <w:rPr>
          <w:rFonts w:hint="eastAsia"/>
          <w:color w:val="auto"/>
          <w:w w:val="105"/>
          <w:highlight w:val="none"/>
        </w:rPr>
      </w:pPr>
      <w:r>
        <w:rPr>
          <w:rFonts w:hint="eastAsia"/>
          <w:color w:val="auto"/>
          <w:w w:val="105"/>
          <w:highlight w:val="none"/>
        </w:rPr>
        <w:t>快速冷却柜和快速冻结柜产品的金属材质部分应具有耐腐性。内壁及暴露在低温环境中的材料、焊料及焊缝等，其机械性能和物理性能应能保证产品正常使用。</w:t>
      </w:r>
    </w:p>
    <w:p>
      <w:pPr>
        <w:pStyle w:val="131"/>
        <w:widowControl w:val="0"/>
        <w:ind w:left="0"/>
        <w:rPr>
          <w:rFonts w:hint="eastAsia"/>
          <w:color w:val="auto"/>
          <w:w w:val="105"/>
          <w:highlight w:val="none"/>
        </w:rPr>
      </w:pPr>
      <w:r>
        <w:rPr>
          <w:rFonts w:hint="eastAsia"/>
          <w:color w:val="auto"/>
          <w:w w:val="105"/>
          <w:highlight w:val="none"/>
        </w:rPr>
        <w:t>快速冷却柜和快速冻结柜产品内、外表面应耐磨且易于清洁。</w:t>
      </w:r>
    </w:p>
    <w:p>
      <w:pPr>
        <w:pStyle w:val="131"/>
        <w:widowControl w:val="0"/>
        <w:ind w:left="0"/>
        <w:rPr>
          <w:rFonts w:hint="default" w:hAnsi="黑体"/>
          <w:color w:val="auto"/>
          <w:szCs w:val="21"/>
          <w:lang w:val="en-US" w:eastAsia="zh-CN"/>
        </w:rPr>
      </w:pPr>
      <w:r>
        <w:rPr>
          <w:rFonts w:hint="eastAsia"/>
          <w:color w:val="auto"/>
          <w:w w:val="105"/>
          <w:highlight w:val="none"/>
          <w:lang w:eastAsia="zh-CN"/>
        </w:rPr>
        <w:t>其他</w:t>
      </w:r>
      <w:r>
        <w:rPr>
          <w:rFonts w:hint="eastAsia"/>
          <w:color w:val="auto"/>
          <w:lang w:eastAsia="zh-CN"/>
        </w:rPr>
        <w:t>结构和材料应符合</w:t>
      </w:r>
      <w:r>
        <w:rPr>
          <w:rFonts w:hint="eastAsia" w:cs="Times New Roman"/>
          <w:color w:val="auto"/>
          <w:szCs w:val="21"/>
        </w:rPr>
        <w:t>SB/T</w:t>
      </w:r>
      <w:r>
        <w:rPr>
          <w:rFonts w:hint="eastAsia" w:cs="Times New Roman"/>
          <w:color w:val="auto"/>
          <w:szCs w:val="21"/>
          <w:lang w:val="en-US" w:eastAsia="zh-CN"/>
        </w:rPr>
        <w:t xml:space="preserve"> </w:t>
      </w:r>
      <w:r>
        <w:rPr>
          <w:rFonts w:hint="eastAsia" w:cs="Times New Roman"/>
          <w:color w:val="auto"/>
          <w:szCs w:val="21"/>
        </w:rPr>
        <w:t>11048—2013</w:t>
      </w:r>
      <w:r>
        <w:rPr>
          <w:rFonts w:hint="eastAsia" w:cs="Times New Roman"/>
          <w:color w:val="auto"/>
          <w:szCs w:val="21"/>
          <w:lang w:eastAsia="zh-CN"/>
        </w:rPr>
        <w:t>中</w:t>
      </w:r>
      <w:r>
        <w:rPr>
          <w:rFonts w:hint="eastAsia" w:cs="Times New Roman"/>
          <w:color w:val="auto"/>
          <w:szCs w:val="21"/>
          <w:lang w:val="en-US" w:eastAsia="zh-CN"/>
        </w:rPr>
        <w:t>5.1的要求。</w:t>
      </w:r>
    </w:p>
    <w:p>
      <w:pPr>
        <w:pStyle w:val="119"/>
        <w:spacing w:before="156" w:after="156"/>
        <w:ind w:left="0"/>
      </w:pPr>
      <w:r>
        <w:rPr>
          <w:rFonts w:hint="eastAsia" w:hAnsi="黑体"/>
          <w:szCs w:val="21"/>
        </w:rPr>
        <w:t>外观</w:t>
      </w:r>
      <w:r>
        <w:rPr>
          <w:rFonts w:hint="eastAsia"/>
        </w:rPr>
        <w:t xml:space="preserve"> </w:t>
      </w:r>
    </w:p>
    <w:p>
      <w:pPr>
        <w:pStyle w:val="131"/>
        <w:widowControl w:val="0"/>
        <w:ind w:left="0"/>
        <w:rPr>
          <w:rFonts w:hint="eastAsia"/>
          <w:color w:val="auto"/>
          <w:w w:val="105"/>
          <w:highlight w:val="none"/>
        </w:rPr>
      </w:pPr>
      <w:r>
        <w:rPr>
          <w:rFonts w:hint="eastAsia"/>
          <w:color w:val="auto"/>
          <w:w w:val="105"/>
          <w:highlight w:val="none"/>
        </w:rPr>
        <w:t>外观应美观大方，零部件结合面的边缘应整齐光滑，焊缝应连续严密，无明显缺陷。</w:t>
      </w:r>
    </w:p>
    <w:p>
      <w:pPr>
        <w:pStyle w:val="131"/>
        <w:widowControl w:val="0"/>
        <w:ind w:left="0"/>
        <w:rPr>
          <w:rFonts w:hint="eastAsia"/>
          <w:color w:val="auto"/>
          <w:w w:val="105"/>
          <w:highlight w:val="none"/>
        </w:rPr>
      </w:pPr>
      <w:r>
        <w:rPr>
          <w:rFonts w:hint="eastAsia"/>
          <w:color w:val="auto"/>
          <w:w w:val="105"/>
          <w:highlight w:val="none"/>
        </w:rPr>
        <w:t>产品的不锈钢及铝合金制作件表面应呈金属光泽。</w:t>
      </w:r>
    </w:p>
    <w:p>
      <w:pPr>
        <w:pStyle w:val="131"/>
        <w:widowControl w:val="0"/>
        <w:ind w:left="0"/>
        <w:rPr>
          <w:rFonts w:hint="eastAsia"/>
          <w:color w:val="auto"/>
          <w:w w:val="105"/>
          <w:highlight w:val="none"/>
        </w:rPr>
      </w:pPr>
      <w:r>
        <w:rPr>
          <w:rFonts w:hint="eastAsia"/>
          <w:color w:val="auto"/>
          <w:w w:val="105"/>
          <w:highlight w:val="none"/>
        </w:rPr>
        <w:t>塑料件表面应平整光滑、色泽均匀，不应有裂痕、气泡、明显缩孔和变形等缺陷。</w:t>
      </w:r>
    </w:p>
    <w:p>
      <w:pPr>
        <w:pStyle w:val="131"/>
        <w:widowControl w:val="0"/>
        <w:ind w:left="0"/>
      </w:pPr>
      <w:r>
        <w:rPr>
          <w:rFonts w:hint="eastAsia"/>
          <w:color w:val="auto"/>
          <w:w w:val="105"/>
          <w:highlight w:val="none"/>
        </w:rPr>
        <w:t>产品标志应清晰、耐久、正确。</w:t>
      </w:r>
    </w:p>
    <w:p>
      <w:pPr>
        <w:pStyle w:val="119"/>
        <w:spacing w:before="156" w:after="156"/>
        <w:ind w:left="0"/>
        <w:rPr>
          <w:rFonts w:hAnsi="黑体"/>
          <w:szCs w:val="21"/>
        </w:rPr>
      </w:pPr>
      <w:r>
        <w:rPr>
          <w:rFonts w:hint="eastAsia" w:hAnsi="黑体"/>
          <w:szCs w:val="21"/>
        </w:rPr>
        <w:t>制冷系统的密封性</w:t>
      </w:r>
    </w:p>
    <w:p>
      <w:pPr>
        <w:pStyle w:val="131"/>
        <w:numPr>
          <w:ilvl w:val="0"/>
          <w:numId w:val="0"/>
        </w:numPr>
        <w:ind w:firstLine="420" w:firstLineChars="200"/>
      </w:pPr>
      <w:bookmarkStart w:id="12" w:name="OLE_LINK3"/>
      <w:r>
        <w:rPr>
          <w:rFonts w:hint="eastAsia"/>
        </w:rPr>
        <w:t>快速冷却柜和快速冻结柜的制冷系统(包括系统中各零部件)不应有制冷剂泄漏。按6.3进行单点检漏时,制冷剂年泄漏量不大于</w:t>
      </w:r>
      <w:r>
        <w:rPr>
          <w:rFonts w:hint="default"/>
          <w:lang w:val="en-US"/>
        </w:rPr>
        <w:t>2</w:t>
      </w:r>
      <w:r>
        <w:rPr>
          <w:rFonts w:hint="eastAsia"/>
          <w:lang w:val="en-US" w:eastAsia="zh-CN"/>
        </w:rPr>
        <w:t xml:space="preserve"> </w:t>
      </w:r>
      <w:r>
        <w:rPr>
          <w:rFonts w:hint="eastAsia"/>
        </w:rPr>
        <w:t>g。</w:t>
      </w:r>
    </w:p>
    <w:bookmarkEnd w:id="12"/>
    <w:p>
      <w:pPr>
        <w:pStyle w:val="119"/>
        <w:spacing w:before="156" w:after="156"/>
        <w:ind w:left="0"/>
        <w:rPr>
          <w:rFonts w:hAnsi="黑体"/>
          <w:szCs w:val="21"/>
        </w:rPr>
      </w:pPr>
      <w:r>
        <w:rPr>
          <w:rFonts w:hint="eastAsia" w:hAnsi="黑体"/>
        </w:rPr>
        <w:t>耗电量</w:t>
      </w:r>
    </w:p>
    <w:p>
      <w:pPr>
        <w:pStyle w:val="23"/>
        <w:ind w:firstLine="420"/>
      </w:pPr>
      <w:r>
        <w:rPr>
          <w:rFonts w:hint="eastAsia"/>
        </w:rPr>
        <w:t>实测耗电量不应大于额定值的110%。</w:t>
      </w:r>
    </w:p>
    <w:p>
      <w:pPr>
        <w:pStyle w:val="119"/>
        <w:spacing w:before="156" w:after="156"/>
        <w:ind w:left="0"/>
        <w:rPr>
          <w:rFonts w:hAnsi="黑体"/>
        </w:rPr>
      </w:pPr>
      <w:r>
        <w:rPr>
          <w:rFonts w:hint="eastAsia" w:hAnsi="黑体"/>
        </w:rPr>
        <w:t>蒸发器结霜</w:t>
      </w:r>
    </w:p>
    <w:p>
      <w:pPr>
        <w:pStyle w:val="23"/>
        <w:ind w:firstLine="420"/>
      </w:pPr>
      <w:r>
        <w:rPr>
          <w:rFonts w:hint="eastAsia"/>
        </w:rPr>
        <w:t>蒸发器的设计应防止快速冷却柜和快速冻结柜在正常使用时受到损坏。热交换器表面应采用耐腐蚀材料制造,或表面采用防锈、无毒涂层,以承受在结霜与除霜状态交替变化下的温度变化。融霜完毕,快速冷却柜和快速冻结柜应能自动恢复正常运行,且蒸发器表面及排水管路中不应残留影响正常工作性能的霜和冰。</w:t>
      </w:r>
    </w:p>
    <w:p>
      <w:pPr>
        <w:pStyle w:val="119"/>
        <w:spacing w:before="156" w:after="156"/>
        <w:ind w:left="0"/>
        <w:rPr>
          <w:rFonts w:hAnsi="黑体"/>
        </w:rPr>
      </w:pPr>
      <w:r>
        <w:rPr>
          <w:rFonts w:hint="eastAsia" w:hAnsi="黑体"/>
        </w:rPr>
        <w:t>噪声</w:t>
      </w:r>
    </w:p>
    <w:p>
      <w:pPr>
        <w:pStyle w:val="23"/>
        <w:ind w:firstLine="420"/>
      </w:pPr>
      <w:r>
        <w:rPr>
          <w:rFonts w:hint="eastAsia"/>
        </w:rPr>
        <w:t>快速冷却柜和快速冻结柜正常运行,按6.6进行试验时, 快速冷却柜和快速冻结柜其噪声声压级不得高于表2规定的数值。快速冷却柜和快速冻结柜及机组运行时的噪声对周围环境的影响应符合GB 3096的规定。其运行时的噪声超过GB 3096要求时,应采取措施隔离噪声,使之满足GB 3096要求。</w:t>
      </w:r>
    </w:p>
    <w:p>
      <w:pPr>
        <w:pStyle w:val="23"/>
        <w:ind w:firstLine="420"/>
      </w:pPr>
    </w:p>
    <w:p>
      <w:pPr>
        <w:pStyle w:val="23"/>
        <w:ind w:firstLine="420"/>
      </w:pPr>
    </w:p>
    <w:p>
      <w:pPr>
        <w:pStyle w:val="208"/>
        <w:tabs>
          <w:tab w:val="left" w:pos="0"/>
        </w:tabs>
        <w:spacing w:before="156" w:after="156"/>
      </w:pPr>
      <w:r>
        <w:rPr>
          <w:rFonts w:hint="eastAsia"/>
        </w:rPr>
        <w:t>快速冷却柜和快速冻结柜</w:t>
      </w:r>
      <w:r>
        <w:rPr>
          <w:rFonts w:hint="eastAsia"/>
          <w:szCs w:val="21"/>
        </w:rPr>
        <w:t>噪声声压级要求</w:t>
      </w:r>
    </w:p>
    <w:tbl>
      <w:tblPr>
        <w:tblStyle w:val="18"/>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3248"/>
        <w:gridCol w:w="3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4" w:type="dxa"/>
            <w:vMerge w:val="restart"/>
            <w:vAlign w:val="center"/>
          </w:tcPr>
          <w:p>
            <w:pPr>
              <w:numPr>
                <w:ilvl w:val="0"/>
                <w:numId w:val="0"/>
              </w:numPr>
              <w:tabs>
                <w:tab w:val="left" w:pos="850"/>
              </w:tabs>
              <w:ind w:left="665"/>
              <w:jc w:val="center"/>
              <w:rPr>
                <w:rFonts w:hAnsi="宋体"/>
                <w:szCs w:val="18"/>
              </w:rPr>
            </w:pPr>
            <w:r>
              <w:rPr>
                <w:rFonts w:hint="eastAsia"/>
                <w:sz w:val="18"/>
                <w:szCs w:val="18"/>
              </w:rPr>
              <w:t>冷凝机组及风扇功率</w:t>
            </w:r>
            <w:r>
              <w:rPr>
                <w:i/>
                <w:iCs/>
                <w:sz w:val="18"/>
                <w:szCs w:val="18"/>
              </w:rPr>
              <w:t>P</w:t>
            </w:r>
            <w:r>
              <w:rPr>
                <w:rFonts w:hint="eastAsia"/>
                <w:sz w:val="18"/>
                <w:szCs w:val="18"/>
              </w:rPr>
              <w:t>（</w:t>
            </w:r>
            <w:r>
              <w:rPr>
                <w:sz w:val="18"/>
                <w:szCs w:val="18"/>
              </w:rPr>
              <w:t>kW</w:t>
            </w:r>
            <w:r>
              <w:rPr>
                <w:rFonts w:hint="eastAsia"/>
                <w:sz w:val="18"/>
                <w:szCs w:val="18"/>
              </w:rPr>
              <w:t>）</w:t>
            </w:r>
          </w:p>
        </w:tc>
        <w:tc>
          <w:tcPr>
            <w:tcW w:w="6739" w:type="dxa"/>
            <w:gridSpan w:val="2"/>
            <w:vAlign w:val="center"/>
          </w:tcPr>
          <w:p>
            <w:pPr>
              <w:numPr>
                <w:ilvl w:val="0"/>
                <w:numId w:val="0"/>
              </w:numPr>
              <w:tabs>
                <w:tab w:val="left" w:pos="850"/>
              </w:tabs>
              <w:ind w:left="664"/>
              <w:jc w:val="center"/>
              <w:rPr>
                <w:rFonts w:hAnsi="宋体"/>
                <w:szCs w:val="18"/>
              </w:rPr>
            </w:pPr>
            <w:r>
              <w:rPr>
                <w:rFonts w:hint="eastAsia" w:hAnsi="宋体"/>
                <w:sz w:val="18"/>
                <w:szCs w:val="18"/>
              </w:rPr>
              <w:t>噪声声压级，</w:t>
            </w:r>
            <w:r>
              <w:rPr>
                <w:rFonts w:hAnsi="宋体"/>
                <w:sz w:val="18"/>
                <w:szCs w:val="18"/>
              </w:rPr>
              <w:t>dB</w:t>
            </w:r>
            <w:r>
              <w:rPr>
                <w:rFonts w:hint="eastAsia" w:hAnsi="宋体"/>
                <w:sz w:val="18"/>
                <w:szCs w:val="18"/>
              </w:rPr>
              <w:t>（</w:t>
            </w:r>
            <w:r>
              <w:rPr>
                <w:rFonts w:hAnsi="宋体"/>
                <w:sz w:val="18"/>
                <w:szCs w:val="18"/>
              </w:rPr>
              <w:t>A</w:t>
            </w:r>
            <w:r>
              <w:rPr>
                <w:rFonts w:hint="eastAsia"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714" w:type="dxa"/>
            <w:vMerge w:val="continue"/>
            <w:vAlign w:val="center"/>
          </w:tcPr>
          <w:p>
            <w:pPr>
              <w:numPr>
                <w:ilvl w:val="0"/>
                <w:numId w:val="25"/>
              </w:numPr>
              <w:tabs>
                <w:tab w:val="left" w:pos="850"/>
              </w:tabs>
              <w:jc w:val="center"/>
              <w:rPr>
                <w:rFonts w:hAnsi="宋体"/>
                <w:szCs w:val="18"/>
              </w:rPr>
            </w:pPr>
          </w:p>
        </w:tc>
        <w:tc>
          <w:tcPr>
            <w:tcW w:w="3248" w:type="dxa"/>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不带冷却风扇压缩冷凝机组</w:t>
            </w:r>
          </w:p>
        </w:tc>
        <w:tc>
          <w:tcPr>
            <w:tcW w:w="3491" w:type="dxa"/>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带冷却风扇压缩冷凝机组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4" w:type="dxa"/>
            <w:vAlign w:val="center"/>
          </w:tcPr>
          <w:p>
            <w:pPr>
              <w:pStyle w:val="261"/>
              <w:numPr>
                <w:ilvl w:val="0"/>
                <w:numId w:val="0"/>
              </w:numPr>
              <w:tabs>
                <w:tab w:val="left" w:pos="850"/>
              </w:tabs>
              <w:spacing w:beforeLines="0" w:afterLines="0" w:line="240" w:lineRule="auto"/>
              <w:jc w:val="center"/>
              <w:rPr>
                <w:rFonts w:eastAsia="宋体"/>
                <w:sz w:val="18"/>
                <w:szCs w:val="18"/>
              </w:rPr>
            </w:pPr>
            <w:r>
              <w:rPr>
                <w:rFonts w:eastAsia="宋体"/>
                <w:i/>
                <w:iCs/>
                <w:sz w:val="18"/>
                <w:szCs w:val="18"/>
              </w:rPr>
              <w:t>P</w:t>
            </w:r>
            <w:r>
              <w:rPr>
                <w:rFonts w:hint="eastAsia" w:eastAsia="宋体"/>
                <w:sz w:val="18"/>
                <w:szCs w:val="18"/>
              </w:rPr>
              <w:t>≤</w:t>
            </w:r>
            <w:r>
              <w:rPr>
                <w:rFonts w:eastAsia="宋体"/>
                <w:sz w:val="18"/>
                <w:szCs w:val="18"/>
              </w:rPr>
              <w:t>0.75</w:t>
            </w:r>
          </w:p>
        </w:tc>
        <w:tc>
          <w:tcPr>
            <w:tcW w:w="3248" w:type="dxa"/>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 xml:space="preserve"> ≤60</w:t>
            </w:r>
          </w:p>
        </w:tc>
        <w:tc>
          <w:tcPr>
            <w:tcW w:w="3491" w:type="dxa"/>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pStyle w:val="261"/>
              <w:numPr>
                <w:ilvl w:val="1"/>
                <w:numId w:val="0"/>
              </w:numPr>
              <w:tabs>
                <w:tab w:val="left" w:pos="850"/>
              </w:tabs>
              <w:spacing w:beforeLines="0" w:afterLines="0" w:line="240" w:lineRule="auto"/>
              <w:jc w:val="center"/>
              <w:rPr>
                <w:rFonts w:eastAsia="宋体"/>
                <w:sz w:val="18"/>
                <w:szCs w:val="18"/>
              </w:rPr>
            </w:pPr>
            <w:r>
              <w:rPr>
                <w:rFonts w:eastAsia="宋体"/>
                <w:sz w:val="18"/>
                <w:szCs w:val="18"/>
              </w:rPr>
              <w:t>0.75</w:t>
            </w:r>
            <w:r>
              <w:rPr>
                <w:rFonts w:hint="eastAsia" w:eastAsia="宋体"/>
                <w:sz w:val="18"/>
                <w:szCs w:val="18"/>
              </w:rPr>
              <w:t>＜</w:t>
            </w:r>
            <w:r>
              <w:rPr>
                <w:rFonts w:eastAsia="宋体"/>
                <w:i/>
                <w:iCs/>
                <w:sz w:val="18"/>
                <w:szCs w:val="18"/>
              </w:rPr>
              <w:t>P</w:t>
            </w:r>
            <w:r>
              <w:rPr>
                <w:rFonts w:hint="eastAsia" w:eastAsia="宋体"/>
                <w:sz w:val="18"/>
                <w:szCs w:val="18"/>
              </w:rPr>
              <w:t>≤</w:t>
            </w:r>
            <w:r>
              <w:rPr>
                <w:rFonts w:eastAsia="宋体"/>
                <w:sz w:val="18"/>
                <w:szCs w:val="18"/>
              </w:rPr>
              <w:t>1.5</w:t>
            </w:r>
          </w:p>
        </w:tc>
        <w:tc>
          <w:tcPr>
            <w:tcW w:w="3248" w:type="dxa"/>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≤61</w:t>
            </w:r>
          </w:p>
        </w:tc>
        <w:tc>
          <w:tcPr>
            <w:tcW w:w="3491" w:type="dxa"/>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w:t>
            </w:r>
            <w:r>
              <w:rPr>
                <w:rFonts w:eastAsia="宋体"/>
                <w:sz w:val="18"/>
                <w:szCs w:val="18"/>
              </w:rPr>
              <w:t>6</w:t>
            </w:r>
            <w:r>
              <w:rPr>
                <w:rFonts w:hint="eastAsia" w:eastAsia="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numPr>
                <w:ilvl w:val="1"/>
                <w:numId w:val="0"/>
              </w:numPr>
              <w:tabs>
                <w:tab w:val="left" w:pos="850"/>
              </w:tabs>
              <w:jc w:val="center"/>
              <w:rPr>
                <w:sz w:val="18"/>
                <w:szCs w:val="18"/>
              </w:rPr>
            </w:pPr>
            <w:r>
              <w:rPr>
                <w:rFonts w:hint="eastAsia"/>
                <w:sz w:val="18"/>
                <w:szCs w:val="18"/>
              </w:rPr>
              <w:t>1.</w:t>
            </w:r>
            <w:r>
              <w:rPr>
                <w:sz w:val="18"/>
                <w:szCs w:val="18"/>
              </w:rPr>
              <w:t>5</w:t>
            </w:r>
            <w:r>
              <w:rPr>
                <w:rFonts w:hint="eastAsia"/>
                <w:sz w:val="18"/>
                <w:szCs w:val="18"/>
              </w:rPr>
              <w:t>＜</w:t>
            </w:r>
            <w:r>
              <w:rPr>
                <w:i/>
                <w:iCs/>
                <w:sz w:val="18"/>
                <w:szCs w:val="18"/>
              </w:rPr>
              <w:t>P</w:t>
            </w:r>
            <w:r>
              <w:rPr>
                <w:rFonts w:hint="eastAsia"/>
                <w:sz w:val="18"/>
                <w:szCs w:val="18"/>
              </w:rPr>
              <w:t>≤2.2</w:t>
            </w:r>
          </w:p>
        </w:tc>
        <w:tc>
          <w:tcPr>
            <w:tcW w:w="3248" w:type="dxa"/>
            <w:vAlign w:val="center"/>
          </w:tcPr>
          <w:p>
            <w:pPr>
              <w:numPr>
                <w:ilvl w:val="0"/>
                <w:numId w:val="0"/>
              </w:numPr>
              <w:tabs>
                <w:tab w:val="left" w:pos="850"/>
              </w:tabs>
              <w:ind w:left="665" w:firstLine="720" w:firstLineChars="400"/>
              <w:rPr>
                <w:sz w:val="18"/>
                <w:szCs w:val="18"/>
              </w:rPr>
            </w:pPr>
            <w:r>
              <w:rPr>
                <w:rFonts w:hint="eastAsia"/>
                <w:sz w:val="18"/>
                <w:szCs w:val="18"/>
              </w:rPr>
              <w:t>≤63</w:t>
            </w:r>
          </w:p>
        </w:tc>
        <w:tc>
          <w:tcPr>
            <w:tcW w:w="3491" w:type="dxa"/>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numPr>
                <w:ilvl w:val="1"/>
                <w:numId w:val="0"/>
              </w:numPr>
              <w:tabs>
                <w:tab w:val="left" w:pos="850"/>
              </w:tabs>
              <w:jc w:val="center"/>
              <w:rPr>
                <w:sz w:val="18"/>
                <w:szCs w:val="18"/>
              </w:rPr>
            </w:pPr>
            <w:r>
              <w:rPr>
                <w:rFonts w:hint="eastAsia"/>
                <w:sz w:val="18"/>
                <w:szCs w:val="18"/>
              </w:rPr>
              <w:t>2.2＜</w:t>
            </w:r>
            <w:r>
              <w:rPr>
                <w:i/>
                <w:iCs/>
                <w:sz w:val="18"/>
                <w:szCs w:val="18"/>
              </w:rPr>
              <w:t>P</w:t>
            </w:r>
            <w:r>
              <w:rPr>
                <w:rFonts w:hint="eastAsia"/>
                <w:sz w:val="18"/>
                <w:szCs w:val="18"/>
              </w:rPr>
              <w:t>≤3.0</w:t>
            </w:r>
          </w:p>
        </w:tc>
        <w:tc>
          <w:tcPr>
            <w:tcW w:w="3248" w:type="dxa"/>
            <w:vAlign w:val="center"/>
          </w:tcPr>
          <w:p>
            <w:pPr>
              <w:numPr>
                <w:ilvl w:val="0"/>
                <w:numId w:val="0"/>
              </w:numPr>
              <w:tabs>
                <w:tab w:val="left" w:pos="850"/>
              </w:tabs>
              <w:ind w:left="665" w:firstLine="720" w:firstLineChars="400"/>
              <w:rPr>
                <w:sz w:val="18"/>
                <w:szCs w:val="18"/>
              </w:rPr>
            </w:pPr>
            <w:r>
              <w:rPr>
                <w:rFonts w:hint="eastAsia"/>
                <w:sz w:val="18"/>
                <w:szCs w:val="18"/>
              </w:rPr>
              <w:t>≤66</w:t>
            </w:r>
          </w:p>
        </w:tc>
        <w:tc>
          <w:tcPr>
            <w:tcW w:w="3491" w:type="dxa"/>
            <w:vAlign w:val="center"/>
          </w:tcPr>
          <w:p>
            <w:pPr>
              <w:numPr>
                <w:ilvl w:val="1"/>
                <w:numId w:val="0"/>
              </w:numPr>
              <w:tabs>
                <w:tab w:val="left" w:pos="850"/>
              </w:tabs>
              <w:jc w:val="center"/>
              <w:rPr>
                <w:sz w:val="18"/>
                <w:szCs w:val="18"/>
              </w:rPr>
            </w:pPr>
            <w:r>
              <w:rPr>
                <w:rFonts w:hint="eastAsia"/>
                <w:sz w:val="18"/>
                <w:szCs w:val="18"/>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numPr>
                <w:ilvl w:val="1"/>
                <w:numId w:val="0"/>
              </w:numPr>
              <w:tabs>
                <w:tab w:val="left" w:pos="850"/>
              </w:tabs>
              <w:jc w:val="center"/>
              <w:rPr>
                <w:sz w:val="18"/>
                <w:szCs w:val="18"/>
              </w:rPr>
            </w:pPr>
            <w:r>
              <w:rPr>
                <w:rFonts w:hint="eastAsia"/>
                <w:sz w:val="18"/>
                <w:szCs w:val="18"/>
              </w:rPr>
              <w:t>3.0＜</w:t>
            </w:r>
            <w:r>
              <w:rPr>
                <w:i/>
                <w:iCs/>
                <w:sz w:val="18"/>
                <w:szCs w:val="18"/>
              </w:rPr>
              <w:t>P</w:t>
            </w:r>
            <w:r>
              <w:rPr>
                <w:rFonts w:hint="eastAsia"/>
                <w:sz w:val="18"/>
                <w:szCs w:val="18"/>
              </w:rPr>
              <w:t>≤4.0</w:t>
            </w:r>
          </w:p>
        </w:tc>
        <w:tc>
          <w:tcPr>
            <w:tcW w:w="3248" w:type="dxa"/>
            <w:vAlign w:val="center"/>
          </w:tcPr>
          <w:p>
            <w:pPr>
              <w:numPr>
                <w:ilvl w:val="0"/>
                <w:numId w:val="0"/>
              </w:numPr>
              <w:tabs>
                <w:tab w:val="left" w:pos="850"/>
              </w:tabs>
              <w:ind w:left="665" w:firstLine="720" w:firstLineChars="400"/>
              <w:rPr>
                <w:sz w:val="18"/>
                <w:szCs w:val="18"/>
              </w:rPr>
            </w:pPr>
            <w:r>
              <w:rPr>
                <w:rFonts w:hint="eastAsia"/>
                <w:sz w:val="18"/>
                <w:szCs w:val="18"/>
              </w:rPr>
              <w:t>≤68</w:t>
            </w:r>
          </w:p>
        </w:tc>
        <w:tc>
          <w:tcPr>
            <w:tcW w:w="3491" w:type="dxa"/>
            <w:vAlign w:val="center"/>
          </w:tcPr>
          <w:p>
            <w:pPr>
              <w:numPr>
                <w:ilvl w:val="1"/>
                <w:numId w:val="0"/>
              </w:numPr>
              <w:tabs>
                <w:tab w:val="left" w:pos="850"/>
              </w:tabs>
              <w:jc w:val="center"/>
              <w:rPr>
                <w:sz w:val="18"/>
                <w:szCs w:val="18"/>
              </w:rPr>
            </w:pPr>
            <w:r>
              <w:rPr>
                <w:rFonts w:hint="eastAsia"/>
                <w:sz w:val="18"/>
                <w:szCs w:val="18"/>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numPr>
                <w:ilvl w:val="1"/>
                <w:numId w:val="0"/>
              </w:numPr>
              <w:tabs>
                <w:tab w:val="left" w:pos="850"/>
              </w:tabs>
              <w:jc w:val="center"/>
              <w:rPr>
                <w:sz w:val="18"/>
                <w:szCs w:val="18"/>
              </w:rPr>
            </w:pPr>
            <w:r>
              <w:rPr>
                <w:rFonts w:hint="eastAsia"/>
                <w:sz w:val="18"/>
                <w:szCs w:val="18"/>
              </w:rPr>
              <w:t>4.0＜</w:t>
            </w:r>
            <w:r>
              <w:rPr>
                <w:i/>
                <w:iCs/>
                <w:sz w:val="18"/>
                <w:szCs w:val="18"/>
              </w:rPr>
              <w:t>P</w:t>
            </w:r>
            <w:r>
              <w:rPr>
                <w:rFonts w:hint="eastAsia"/>
                <w:sz w:val="18"/>
                <w:szCs w:val="18"/>
              </w:rPr>
              <w:t>≤5</w:t>
            </w:r>
            <w:r>
              <w:rPr>
                <w:sz w:val="18"/>
                <w:szCs w:val="18"/>
              </w:rPr>
              <w:t>.5</w:t>
            </w:r>
          </w:p>
        </w:tc>
        <w:tc>
          <w:tcPr>
            <w:tcW w:w="3248" w:type="dxa"/>
            <w:vAlign w:val="center"/>
          </w:tcPr>
          <w:p>
            <w:pPr>
              <w:numPr>
                <w:ilvl w:val="0"/>
                <w:numId w:val="0"/>
              </w:numPr>
              <w:tabs>
                <w:tab w:val="left" w:pos="850"/>
              </w:tabs>
              <w:ind w:left="665" w:firstLine="720" w:firstLineChars="400"/>
              <w:rPr>
                <w:sz w:val="18"/>
                <w:szCs w:val="18"/>
              </w:rPr>
            </w:pPr>
            <w:r>
              <w:rPr>
                <w:rFonts w:hint="eastAsia"/>
                <w:sz w:val="18"/>
                <w:szCs w:val="18"/>
              </w:rPr>
              <w:t>≤70</w:t>
            </w:r>
          </w:p>
        </w:tc>
        <w:tc>
          <w:tcPr>
            <w:tcW w:w="3491" w:type="dxa"/>
            <w:vAlign w:val="center"/>
          </w:tcPr>
          <w:p>
            <w:pPr>
              <w:numPr>
                <w:ilvl w:val="1"/>
                <w:numId w:val="0"/>
              </w:numPr>
              <w:tabs>
                <w:tab w:val="left" w:pos="850"/>
              </w:tabs>
              <w:jc w:val="center"/>
              <w:rPr>
                <w:sz w:val="18"/>
                <w:szCs w:val="18"/>
              </w:rPr>
            </w:pPr>
            <w:r>
              <w:rPr>
                <w:rFonts w:hint="eastAsia"/>
                <w:sz w:val="18"/>
                <w:szCs w:val="18"/>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numPr>
                <w:ilvl w:val="1"/>
                <w:numId w:val="0"/>
              </w:numPr>
              <w:tabs>
                <w:tab w:val="left" w:pos="850"/>
              </w:tabs>
              <w:jc w:val="center"/>
              <w:rPr>
                <w:sz w:val="18"/>
                <w:szCs w:val="18"/>
              </w:rPr>
            </w:pPr>
            <w:r>
              <w:rPr>
                <w:rFonts w:hint="eastAsia"/>
                <w:sz w:val="18"/>
                <w:szCs w:val="18"/>
              </w:rPr>
              <w:t>5.</w:t>
            </w:r>
            <w:r>
              <w:rPr>
                <w:sz w:val="18"/>
                <w:szCs w:val="18"/>
              </w:rPr>
              <w:t>5</w:t>
            </w:r>
            <w:r>
              <w:rPr>
                <w:rFonts w:hint="eastAsia"/>
                <w:sz w:val="18"/>
                <w:szCs w:val="18"/>
              </w:rPr>
              <w:t>＜</w:t>
            </w:r>
            <w:r>
              <w:rPr>
                <w:i/>
                <w:iCs/>
                <w:sz w:val="18"/>
                <w:szCs w:val="18"/>
              </w:rPr>
              <w:t>P</w:t>
            </w:r>
            <w:r>
              <w:rPr>
                <w:rFonts w:hint="eastAsia"/>
                <w:sz w:val="18"/>
                <w:szCs w:val="18"/>
              </w:rPr>
              <w:t>≤7</w:t>
            </w:r>
            <w:r>
              <w:rPr>
                <w:sz w:val="18"/>
                <w:szCs w:val="18"/>
              </w:rPr>
              <w:t>.5</w:t>
            </w:r>
          </w:p>
        </w:tc>
        <w:tc>
          <w:tcPr>
            <w:tcW w:w="3248" w:type="dxa"/>
            <w:vAlign w:val="center"/>
          </w:tcPr>
          <w:p>
            <w:pPr>
              <w:numPr>
                <w:ilvl w:val="0"/>
                <w:numId w:val="0"/>
              </w:numPr>
              <w:tabs>
                <w:tab w:val="left" w:pos="850"/>
              </w:tabs>
              <w:ind w:left="665" w:firstLine="720" w:firstLineChars="400"/>
              <w:rPr>
                <w:sz w:val="18"/>
                <w:szCs w:val="18"/>
              </w:rPr>
            </w:pPr>
            <w:r>
              <w:rPr>
                <w:rFonts w:hint="eastAsia"/>
                <w:sz w:val="18"/>
                <w:szCs w:val="18"/>
              </w:rPr>
              <w:t>≤73</w:t>
            </w:r>
          </w:p>
        </w:tc>
        <w:tc>
          <w:tcPr>
            <w:tcW w:w="3491" w:type="dxa"/>
            <w:vAlign w:val="center"/>
          </w:tcPr>
          <w:p>
            <w:pPr>
              <w:numPr>
                <w:ilvl w:val="1"/>
                <w:numId w:val="0"/>
              </w:numPr>
              <w:tabs>
                <w:tab w:val="left" w:pos="850"/>
              </w:tabs>
              <w:jc w:val="center"/>
              <w:rPr>
                <w:sz w:val="18"/>
                <w:szCs w:val="18"/>
              </w:rPr>
            </w:pPr>
            <w:r>
              <w:rPr>
                <w:rFonts w:hint="eastAsia"/>
                <w:sz w:val="18"/>
                <w:szCs w:val="18"/>
              </w:rPr>
              <w:t>≤76</w:t>
            </w:r>
          </w:p>
        </w:tc>
      </w:tr>
    </w:tbl>
    <w:p>
      <w:pPr>
        <w:pStyle w:val="119"/>
        <w:spacing w:before="156" w:after="156"/>
        <w:ind w:left="0"/>
        <w:rPr>
          <w:rFonts w:hAnsi="黑体"/>
        </w:rPr>
      </w:pPr>
      <w:r>
        <w:rPr>
          <w:rFonts w:hint="eastAsia" w:hAnsi="黑体"/>
        </w:rPr>
        <w:t>耐电压波动性能</w:t>
      </w:r>
    </w:p>
    <w:p>
      <w:pPr>
        <w:pStyle w:val="23"/>
        <w:ind w:firstLine="420"/>
      </w:pPr>
      <w:r>
        <w:rPr>
          <w:rFonts w:hint="eastAsia"/>
        </w:rPr>
        <w:t>应能适应电网电压的波动，按6.7的方法进行试验时，</w:t>
      </w:r>
      <w:r>
        <w:rPr>
          <w:rFonts w:hint="eastAsia" w:cs="Times New Roman"/>
          <w:szCs w:val="21"/>
        </w:rPr>
        <w:t>快速冷却柜和快速冻结柜</w:t>
      </w:r>
      <w:r>
        <w:rPr>
          <w:rFonts w:hint="eastAsia"/>
        </w:rPr>
        <w:t>应运行正常，机组各部件不能出现故障，不应出现热过载保护，柜内温度应能保持正常。</w:t>
      </w:r>
    </w:p>
    <w:p>
      <w:pPr>
        <w:pStyle w:val="119"/>
        <w:spacing w:before="156" w:after="156"/>
        <w:ind w:left="0"/>
        <w:rPr>
          <w:rFonts w:hAnsi="黑体"/>
        </w:rPr>
      </w:pPr>
      <w:r>
        <w:rPr>
          <w:rFonts w:hint="eastAsia" w:hAnsi="黑体"/>
        </w:rPr>
        <w:t>启动性能</w:t>
      </w:r>
    </w:p>
    <w:p>
      <w:pPr>
        <w:pStyle w:val="131"/>
        <w:numPr>
          <w:ilvl w:val="0"/>
          <w:numId w:val="0"/>
        </w:numPr>
        <w:ind w:firstLine="420" w:firstLineChars="200"/>
        <w:rPr>
          <w:rFonts w:hint="eastAsia"/>
        </w:rPr>
      </w:pPr>
      <w:r>
        <w:rPr>
          <w:rFonts w:hint="eastAsia"/>
        </w:rPr>
        <w:t>应具有良好的启动性能，按6.8的方法进行降电压15%启动试验时，</w:t>
      </w:r>
      <w:r>
        <w:rPr>
          <w:rFonts w:hint="eastAsia" w:cs="Times New Roman"/>
          <w:szCs w:val="21"/>
        </w:rPr>
        <w:t>快速冷却柜和快速冻结柜</w:t>
      </w:r>
      <w:r>
        <w:rPr>
          <w:rFonts w:hint="eastAsia"/>
        </w:rPr>
        <w:t>应能正常起动降温，装在</w:t>
      </w:r>
      <w:r>
        <w:rPr>
          <w:rFonts w:hint="eastAsia" w:cs="Times New Roman"/>
          <w:szCs w:val="21"/>
        </w:rPr>
        <w:t>快速冷却柜和快速冻结柜</w:t>
      </w:r>
      <w:r>
        <w:rPr>
          <w:rFonts w:hint="eastAsia"/>
        </w:rPr>
        <w:t>上的任何保护装置不应动作。</w:t>
      </w:r>
    </w:p>
    <w:p>
      <w:pPr>
        <w:pStyle w:val="119"/>
        <w:spacing w:before="156" w:after="156"/>
        <w:ind w:left="0"/>
        <w:rPr>
          <w:rFonts w:hAnsi="黑体"/>
          <w:szCs w:val="21"/>
        </w:rPr>
      </w:pPr>
      <w:r>
        <w:rPr>
          <w:rFonts w:hint="eastAsia" w:hAnsi="黑体"/>
          <w:szCs w:val="21"/>
        </w:rPr>
        <w:t>性能要求</w:t>
      </w:r>
    </w:p>
    <w:p>
      <w:pPr>
        <w:pStyle w:val="121"/>
        <w:spacing w:before="156" w:after="156"/>
        <w:ind w:left="0"/>
      </w:pPr>
      <w:r>
        <w:rPr>
          <w:rFonts w:hint="eastAsia"/>
        </w:rPr>
        <w:t>速冻性能</w:t>
      </w:r>
      <w:r>
        <w:t>降温</w:t>
      </w:r>
    </w:p>
    <w:p>
      <w:pPr>
        <w:pStyle w:val="133"/>
        <w:widowControl/>
        <w:spacing w:before="0" w:after="0"/>
        <w:ind w:left="0"/>
      </w:pPr>
      <w:r>
        <w:rPr>
          <w:rFonts w:hint="eastAsia" w:hAnsi="宋体" w:cs="Times New Roman"/>
          <w:szCs w:val="21"/>
        </w:rPr>
        <w:t>快速冷却柜</w:t>
      </w:r>
      <w:r>
        <w:rPr>
          <w:rFonts w:hint="eastAsia"/>
        </w:rPr>
        <w:t>将一定量的70</w:t>
      </w:r>
      <w:r>
        <w:rPr>
          <w:rFonts w:hint="eastAsia"/>
          <w:lang w:val="en-US" w:eastAsia="zh-CN"/>
        </w:rPr>
        <w:t xml:space="preserve"> </w:t>
      </w:r>
      <w:r>
        <w:rPr>
          <w:rFonts w:hint="eastAsia"/>
        </w:rPr>
        <w:t>℃高温食品在90</w:t>
      </w:r>
      <w:r>
        <w:rPr>
          <w:rFonts w:hint="eastAsia"/>
          <w:lang w:val="en-US" w:eastAsia="zh-CN"/>
        </w:rPr>
        <w:t xml:space="preserve"> </w:t>
      </w:r>
      <w:r>
        <w:rPr>
          <w:rFonts w:hint="eastAsia" w:cs="Times New Roman"/>
          <w:szCs w:val="21"/>
        </w:rPr>
        <w:t>min</w:t>
      </w:r>
      <w:r>
        <w:rPr>
          <w:rFonts w:hint="eastAsia"/>
        </w:rPr>
        <w:t>规定的时间内冷却食品时，食品物料的中心温度应≤3 ℃；用户有特殊要求除外。</w:t>
      </w:r>
    </w:p>
    <w:p>
      <w:pPr>
        <w:pStyle w:val="133"/>
        <w:widowControl/>
        <w:spacing w:before="0" w:after="0"/>
        <w:ind w:left="0"/>
      </w:pPr>
      <w:r>
        <w:rPr>
          <w:rFonts w:hint="eastAsia" w:hAnsi="宋体" w:cs="Times New Roman"/>
          <w:szCs w:val="21"/>
        </w:rPr>
        <w:t>快速冻结柜</w:t>
      </w:r>
      <w:r>
        <w:rPr>
          <w:rFonts w:hint="eastAsia" w:cs="Times New Roman"/>
          <w:szCs w:val="21"/>
        </w:rPr>
        <w:t>将一定量的70</w:t>
      </w:r>
      <w:r>
        <w:rPr>
          <w:rFonts w:hint="eastAsia" w:cs="Times New Roman"/>
          <w:szCs w:val="21"/>
          <w:lang w:val="en-US" w:eastAsia="zh-CN"/>
        </w:rPr>
        <w:t xml:space="preserve"> </w:t>
      </w:r>
      <w:r>
        <w:t>℃</w:t>
      </w:r>
      <w:r>
        <w:rPr>
          <w:rFonts w:hint="eastAsia" w:cs="Times New Roman"/>
          <w:szCs w:val="21"/>
        </w:rPr>
        <w:t>高温食品在240 min规定的时间内</w:t>
      </w:r>
      <w:r>
        <w:rPr>
          <w:rFonts w:hint="eastAsia"/>
        </w:rPr>
        <w:t xml:space="preserve">速冻食品时，食品物料的中心温度应≤-18 </w:t>
      </w:r>
      <w:r>
        <w:t>℃</w:t>
      </w:r>
      <w:r>
        <w:rPr>
          <w:rFonts w:hint="eastAsia"/>
        </w:rPr>
        <w:t>；用户有特殊要求除外。</w:t>
      </w:r>
    </w:p>
    <w:p>
      <w:pPr>
        <w:pStyle w:val="121"/>
        <w:spacing w:before="156" w:after="156"/>
        <w:ind w:left="0"/>
      </w:pPr>
      <w:r>
        <w:rPr>
          <w:rFonts w:hint="eastAsia"/>
        </w:rPr>
        <w:t>空载降温</w:t>
      </w:r>
    </w:p>
    <w:p>
      <w:pPr>
        <w:pStyle w:val="23"/>
        <w:ind w:firstLine="420" w:firstLineChars="200"/>
      </w:pPr>
      <w:r>
        <w:rPr>
          <w:rFonts w:hint="eastAsia"/>
        </w:rPr>
        <w:t>进行空载降温试验时，</w:t>
      </w:r>
      <w:r>
        <w:rPr>
          <w:rFonts w:hint="eastAsia" w:cs="Times New Roman"/>
          <w:szCs w:val="21"/>
        </w:rPr>
        <w:t>快速冷却柜和快速冻结柜</w:t>
      </w:r>
      <w:r>
        <w:rPr>
          <w:rFonts w:hint="eastAsia"/>
        </w:rPr>
        <w:t xml:space="preserve">产品内循环气流温度从环境温度降至-30 </w:t>
      </w:r>
      <w:r>
        <w:t>℃</w:t>
      </w:r>
      <w:r>
        <w:rPr>
          <w:rFonts w:hint="eastAsia"/>
        </w:rPr>
        <w:t>所需的时间≤50 min。</w:t>
      </w:r>
    </w:p>
    <w:bookmarkEnd w:id="9"/>
    <w:p>
      <w:pPr>
        <w:pStyle w:val="119"/>
        <w:spacing w:before="156" w:after="156"/>
        <w:ind w:left="0"/>
        <w:rPr>
          <w:rFonts w:hAnsi="黑体"/>
          <w:szCs w:val="21"/>
        </w:rPr>
      </w:pPr>
      <w:r>
        <w:rPr>
          <w:rFonts w:hint="eastAsia" w:hAnsi="黑体"/>
          <w:szCs w:val="21"/>
        </w:rPr>
        <w:t>门和盖的密封</w:t>
      </w:r>
    </w:p>
    <w:p>
      <w:pPr>
        <w:pStyle w:val="23"/>
        <w:ind w:firstLine="420"/>
      </w:pPr>
      <w:r>
        <w:rPr>
          <w:rFonts w:hint="eastAsia"/>
        </w:rPr>
        <w:t>所有的门和盖应密封以保证制冷空间封闭,防止环境空气非正常渗人。按6.10进行试验,纸带不能自由下落。</w:t>
      </w:r>
    </w:p>
    <w:p>
      <w:pPr>
        <w:pStyle w:val="119"/>
        <w:spacing w:before="156" w:after="156"/>
        <w:ind w:left="0"/>
        <w:rPr>
          <w:rFonts w:hAnsi="黑体"/>
          <w:szCs w:val="21"/>
        </w:rPr>
      </w:pPr>
      <w:r>
        <w:rPr>
          <w:rFonts w:hint="eastAsia" w:hAnsi="黑体"/>
          <w:szCs w:val="21"/>
        </w:rPr>
        <w:t>卫生安全要求</w:t>
      </w:r>
    </w:p>
    <w:p>
      <w:pPr>
        <w:pStyle w:val="121"/>
        <w:spacing w:before="156" w:after="156"/>
        <w:ind w:left="-426" w:firstLine="424" w:firstLineChars="202"/>
      </w:pPr>
      <w:r>
        <w:rPr>
          <w:rFonts w:hint="eastAsia"/>
        </w:rPr>
        <w:t>制冷系统安全</w:t>
      </w:r>
    </w:p>
    <w:p>
      <w:pPr>
        <w:pStyle w:val="23"/>
        <w:ind w:firstLine="420"/>
      </w:pPr>
      <w:r>
        <w:rPr>
          <w:rFonts w:hint="eastAsia"/>
        </w:rPr>
        <w:t>快速冷却柜和快速冻结柜配有的机械制冷系统安全性能应符合GB 9237的有关</w:t>
      </w:r>
      <w:r>
        <w:rPr>
          <w:rFonts w:hint="eastAsia"/>
          <w:lang w:eastAsia="zh-CN"/>
        </w:rPr>
        <w:t>要求</w:t>
      </w:r>
      <w:r>
        <w:rPr>
          <w:rFonts w:hint="eastAsia"/>
        </w:rPr>
        <w:t>。</w:t>
      </w:r>
    </w:p>
    <w:p>
      <w:pPr>
        <w:pStyle w:val="121"/>
        <w:spacing w:before="156" w:after="156"/>
        <w:ind w:left="0"/>
      </w:pPr>
      <w:r>
        <w:rPr>
          <w:rFonts w:hint="eastAsia"/>
        </w:rPr>
        <w:t>机械安全和电气安全</w:t>
      </w:r>
    </w:p>
    <w:p>
      <w:pPr>
        <w:ind w:firstLine="420" w:firstLineChars="200"/>
      </w:pPr>
      <w:r>
        <w:rPr>
          <w:rFonts w:hint="eastAsia"/>
        </w:rPr>
        <w:t>快速冷却柜和快速冻结柜应符合的</w:t>
      </w:r>
      <w:r>
        <w:t>GB</w:t>
      </w:r>
      <w:r>
        <w:rPr>
          <w:rFonts w:hint="default"/>
          <w:lang w:val="en-US"/>
        </w:rPr>
        <w:t>/T</w:t>
      </w:r>
      <w:r>
        <w:t xml:space="preserve"> 4706.1</w:t>
      </w:r>
      <w:r>
        <w:rPr>
          <w:rFonts w:hint="eastAsia"/>
        </w:rPr>
        <w:t>、SB 10424的要求。</w:t>
      </w:r>
    </w:p>
    <w:p>
      <w:pPr>
        <w:pStyle w:val="121"/>
        <w:spacing w:before="156" w:after="156"/>
        <w:ind w:left="-142" w:firstLine="140" w:firstLineChars="67"/>
        <w:rPr>
          <w:szCs w:val="21"/>
        </w:rPr>
      </w:pPr>
      <w:r>
        <w:rPr>
          <w:rFonts w:hint="eastAsia"/>
          <w:szCs w:val="21"/>
        </w:rPr>
        <w:t>电磁兼容</w:t>
      </w:r>
    </w:p>
    <w:p>
      <w:pPr>
        <w:ind w:firstLine="420" w:firstLineChars="200"/>
      </w:pPr>
      <w:r>
        <w:rPr>
          <w:rFonts w:hint="eastAsia"/>
        </w:rPr>
        <w:t>按6.11.3的方法进行试验，应符合</w:t>
      </w:r>
      <w:r>
        <w:t>GB 17625.1</w:t>
      </w:r>
      <w:r>
        <w:rPr>
          <w:rFonts w:hint="eastAsia"/>
        </w:rPr>
        <w:t>和</w:t>
      </w:r>
      <w:r>
        <w:t>GB 4343.1</w:t>
      </w:r>
      <w:r>
        <w:rPr>
          <w:rFonts w:hint="eastAsia"/>
        </w:rPr>
        <w:t>、</w:t>
      </w:r>
      <w:r>
        <w:t>GB/T 4343.2</w:t>
      </w:r>
      <w:r>
        <w:rPr>
          <w:rFonts w:hint="eastAsia"/>
        </w:rPr>
        <w:t>的要求。</w:t>
      </w:r>
    </w:p>
    <w:p>
      <w:pPr>
        <w:pStyle w:val="121"/>
        <w:spacing w:before="156" w:after="156"/>
        <w:ind w:left="0"/>
        <w:rPr>
          <w:szCs w:val="21"/>
        </w:rPr>
      </w:pPr>
      <w:r>
        <w:rPr>
          <w:rFonts w:hint="eastAsia"/>
          <w:szCs w:val="21"/>
        </w:rPr>
        <w:t>与食品接触材料安全</w:t>
      </w:r>
    </w:p>
    <w:p>
      <w:pPr>
        <w:ind w:firstLine="420" w:firstLineChars="200"/>
      </w:pPr>
      <w:r>
        <w:rPr>
          <w:rFonts w:hint="eastAsia"/>
        </w:rPr>
        <w:t>按6.11.4的方法进行试验，应符合GB 4806.1和表3的要求。</w:t>
      </w:r>
    </w:p>
    <w:p>
      <w:pPr>
        <w:pStyle w:val="208"/>
        <w:tabs>
          <w:tab w:val="left" w:pos="0"/>
        </w:tabs>
        <w:spacing w:before="156" w:after="156"/>
      </w:pPr>
      <w:r>
        <w:rPr>
          <w:rFonts w:hint="eastAsia"/>
        </w:rPr>
        <w:t>与食品接触材料安全要求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3772"/>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Borders>
              <w:top w:val="single" w:color="auto" w:sz="12" w:space="0"/>
              <w:left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序号</w:t>
            </w:r>
          </w:p>
        </w:tc>
        <w:tc>
          <w:tcPr>
            <w:tcW w:w="3772"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部件</w:t>
            </w:r>
            <w:r>
              <w:rPr>
                <w:rFonts w:hAnsi="宋体" w:cs="宋体"/>
                <w:sz w:val="18"/>
                <w:szCs w:val="18"/>
              </w:rPr>
              <w:t>/</w:t>
            </w:r>
            <w:r>
              <w:rPr>
                <w:rFonts w:hint="eastAsia" w:hAnsi="宋体" w:cs="宋体"/>
                <w:sz w:val="18"/>
                <w:szCs w:val="18"/>
              </w:rPr>
              <w:t>部位</w:t>
            </w:r>
          </w:p>
        </w:tc>
        <w:tc>
          <w:tcPr>
            <w:tcW w:w="424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要求及其试验方法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469"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Cs w:val="18"/>
              </w:rPr>
              <w:t>1</w:t>
            </w:r>
          </w:p>
        </w:tc>
        <w:tc>
          <w:tcPr>
            <w:tcW w:w="3772" w:type="dxa"/>
            <w:vAlign w:val="center"/>
          </w:tcPr>
          <w:p>
            <w:pPr>
              <w:numPr>
                <w:ilvl w:val="0"/>
                <w:numId w:val="0"/>
              </w:numPr>
              <w:tabs>
                <w:tab w:val="left" w:pos="850"/>
              </w:tabs>
              <w:jc w:val="center"/>
              <w:rPr>
                <w:rFonts w:hAnsi="宋体" w:cs="宋体"/>
                <w:szCs w:val="18"/>
              </w:rPr>
            </w:pPr>
            <w:r>
              <w:rPr>
                <w:rFonts w:hint="eastAsia" w:hAnsi="宋体" w:cs="宋体"/>
                <w:sz w:val="18"/>
                <w:szCs w:val="18"/>
              </w:rPr>
              <w:t>塑料材料及制品</w:t>
            </w:r>
          </w:p>
        </w:tc>
        <w:tc>
          <w:tcPr>
            <w:tcW w:w="4240"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69"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2</w:t>
            </w:r>
          </w:p>
        </w:tc>
        <w:tc>
          <w:tcPr>
            <w:tcW w:w="3772" w:type="dxa"/>
            <w:vAlign w:val="center"/>
          </w:tcPr>
          <w:p>
            <w:pPr>
              <w:numPr>
                <w:ilvl w:val="0"/>
                <w:numId w:val="0"/>
              </w:numPr>
              <w:tabs>
                <w:tab w:val="left" w:pos="850"/>
              </w:tabs>
              <w:jc w:val="center"/>
              <w:rPr>
                <w:rFonts w:hAnsi="宋体" w:cs="宋体"/>
                <w:szCs w:val="18"/>
              </w:rPr>
            </w:pPr>
            <w:r>
              <w:rPr>
                <w:rFonts w:hint="eastAsia" w:hAnsi="宋体" w:cs="宋体"/>
                <w:sz w:val="18"/>
                <w:szCs w:val="18"/>
              </w:rPr>
              <w:t>玻璃制品</w:t>
            </w:r>
          </w:p>
        </w:tc>
        <w:tc>
          <w:tcPr>
            <w:tcW w:w="4240"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69"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3</w:t>
            </w:r>
          </w:p>
        </w:tc>
        <w:tc>
          <w:tcPr>
            <w:tcW w:w="3772" w:type="dxa"/>
            <w:vAlign w:val="center"/>
          </w:tcPr>
          <w:p>
            <w:pPr>
              <w:numPr>
                <w:ilvl w:val="0"/>
                <w:numId w:val="0"/>
              </w:numPr>
              <w:tabs>
                <w:tab w:val="left" w:pos="850"/>
              </w:tabs>
              <w:jc w:val="center"/>
              <w:rPr>
                <w:rFonts w:hAnsi="宋体" w:cs="宋体"/>
                <w:szCs w:val="18"/>
              </w:rPr>
            </w:pPr>
            <w:r>
              <w:rPr>
                <w:rFonts w:hint="eastAsia" w:hAnsi="宋体" w:cs="宋体"/>
                <w:sz w:val="18"/>
                <w:szCs w:val="18"/>
              </w:rPr>
              <w:t>金属材料及制品</w:t>
            </w:r>
          </w:p>
        </w:tc>
        <w:tc>
          <w:tcPr>
            <w:tcW w:w="4240"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69" w:type="dxa"/>
            <w:tcBorders>
              <w:left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4</w:t>
            </w:r>
          </w:p>
        </w:tc>
        <w:tc>
          <w:tcPr>
            <w:tcW w:w="3772" w:type="dxa"/>
            <w:tcBorders>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涂料及涂层</w:t>
            </w:r>
          </w:p>
        </w:tc>
        <w:tc>
          <w:tcPr>
            <w:tcW w:w="4240" w:type="dxa"/>
            <w:tcBorders>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4806.10</w:t>
            </w:r>
          </w:p>
        </w:tc>
      </w:tr>
    </w:tbl>
    <w:p>
      <w:pPr>
        <w:pStyle w:val="121"/>
        <w:spacing w:before="156" w:after="156"/>
        <w:ind w:left="0"/>
        <w:rPr>
          <w:rFonts w:cs="黑体"/>
          <w:kern w:val="2"/>
          <w:szCs w:val="22"/>
        </w:rPr>
      </w:pPr>
      <w:r>
        <w:rPr>
          <w:rFonts w:hint="eastAsia" w:cs="黑体"/>
          <w:kern w:val="2"/>
          <w:szCs w:val="22"/>
        </w:rPr>
        <w:t>抗菌</w:t>
      </w:r>
    </w:p>
    <w:p>
      <w:pPr>
        <w:ind w:firstLine="420" w:firstLineChars="200"/>
      </w:pPr>
      <w:r>
        <w:rPr>
          <w:rFonts w:hint="eastAsia"/>
        </w:rPr>
        <w:t>按6.11.5的方法进行试验，具有抗菌功能的</w:t>
      </w:r>
      <w:r>
        <w:rPr>
          <w:rFonts w:hint="eastAsia" w:cs="Times New Roman"/>
          <w:szCs w:val="21"/>
        </w:rPr>
        <w:t>快速冷却柜和快速冻结柜</w:t>
      </w:r>
      <w:r>
        <w:rPr>
          <w:rFonts w:hint="eastAsia"/>
        </w:rPr>
        <w:t>或其应用抗菌材料生产的主要部件，对金黄色葡萄球菌、大肠杆菌的抗菌率不应小于97%。</w:t>
      </w:r>
    </w:p>
    <w:p>
      <w:pPr>
        <w:pStyle w:val="119"/>
        <w:spacing w:before="156" w:after="156"/>
        <w:ind w:left="0"/>
        <w:rPr>
          <w:rFonts w:hAnsi="黑体"/>
          <w:szCs w:val="21"/>
        </w:rPr>
      </w:pPr>
      <w:r>
        <w:rPr>
          <w:rFonts w:hint="eastAsia" w:hAnsi="黑体"/>
          <w:szCs w:val="21"/>
        </w:rPr>
        <w:t>环保性能</w:t>
      </w:r>
    </w:p>
    <w:p>
      <w:pPr>
        <w:pStyle w:val="121"/>
        <w:spacing w:before="156" w:after="156"/>
        <w:ind w:left="0"/>
      </w:pPr>
      <w:r>
        <w:rPr>
          <w:rFonts w:hint="eastAsia"/>
        </w:rPr>
        <w:t>限用物质</w:t>
      </w:r>
    </w:p>
    <w:p>
      <w:pPr>
        <w:ind w:firstLine="448"/>
        <w:rPr>
          <w:szCs w:val="21"/>
        </w:rPr>
      </w:pPr>
      <w:r>
        <w:rPr>
          <w:rFonts w:hint="eastAsia"/>
          <w:szCs w:val="21"/>
        </w:rPr>
        <w:t>按6.12.1的方法</w:t>
      </w:r>
      <w:r>
        <w:rPr>
          <w:rFonts w:hint="eastAsia"/>
        </w:rPr>
        <w:t>进行</w:t>
      </w:r>
      <w:r>
        <w:rPr>
          <w:rFonts w:hint="eastAsia"/>
          <w:szCs w:val="21"/>
        </w:rPr>
        <w:t>试验，应符合</w:t>
      </w:r>
      <w:r>
        <w:rPr>
          <w:szCs w:val="21"/>
        </w:rPr>
        <w:t>GB/T 26572</w:t>
      </w:r>
      <w:r>
        <w:rPr>
          <w:rFonts w:hint="eastAsia"/>
          <w:szCs w:val="21"/>
        </w:rPr>
        <w:t>的要求。</w:t>
      </w:r>
    </w:p>
    <w:p>
      <w:pPr>
        <w:pStyle w:val="121"/>
        <w:spacing w:before="156" w:after="156"/>
        <w:ind w:left="0"/>
      </w:pPr>
      <w:r>
        <w:rPr>
          <w:rFonts w:hint="eastAsia"/>
        </w:rPr>
        <w:t>制冷剂类型</w:t>
      </w:r>
    </w:p>
    <w:p>
      <w:pPr>
        <w:ind w:firstLine="420" w:firstLineChars="200"/>
      </w:pPr>
      <w:r>
        <w:rPr>
          <w:rFonts w:hint="eastAsia"/>
        </w:rPr>
        <w:t>应采用</w:t>
      </w:r>
      <w:r>
        <w:t>ODP</w:t>
      </w:r>
      <w:r>
        <w:rPr>
          <w:rFonts w:hint="eastAsia"/>
        </w:rPr>
        <w:t>值为</w:t>
      </w:r>
      <w:r>
        <w:t>0</w:t>
      </w:r>
      <w:r>
        <w:rPr>
          <w:rFonts w:hint="eastAsia"/>
        </w:rPr>
        <w:t>且</w:t>
      </w:r>
      <w:r>
        <w:t>GWP</w:t>
      </w:r>
      <w:r>
        <w:rPr>
          <w:rFonts w:hint="eastAsia"/>
        </w:rPr>
        <w:t>值不大于</w:t>
      </w:r>
      <w:r>
        <w:t>100</w:t>
      </w:r>
      <w:r>
        <w:rPr>
          <w:rFonts w:hint="eastAsia"/>
        </w:rPr>
        <w:t>的制冷剂，且充注量应符合</w:t>
      </w:r>
      <w:r>
        <w:t>GB</w:t>
      </w:r>
      <w:r>
        <w:rPr>
          <w:rFonts w:hint="default"/>
          <w:lang w:val="en-US"/>
        </w:rPr>
        <w:t>/T</w:t>
      </w:r>
      <w:r>
        <w:t xml:space="preserve"> 4706.102</w:t>
      </w:r>
      <w:r>
        <w:rPr>
          <w:rFonts w:hint="eastAsia"/>
        </w:rPr>
        <w:t>的相关要求。</w:t>
      </w:r>
    </w:p>
    <w:p>
      <w:pPr>
        <w:pStyle w:val="119"/>
        <w:spacing w:before="156" w:after="156"/>
        <w:ind w:left="0"/>
        <w:rPr>
          <w:rFonts w:hAnsi="黑体"/>
          <w:szCs w:val="21"/>
        </w:rPr>
      </w:pPr>
      <w:r>
        <w:rPr>
          <w:rFonts w:hint="eastAsia" w:hAnsi="黑体"/>
          <w:szCs w:val="21"/>
        </w:rPr>
        <w:t>智能化功能</w:t>
      </w:r>
    </w:p>
    <w:p>
      <w:pPr>
        <w:ind w:firstLine="420" w:firstLineChars="200"/>
      </w:pPr>
      <w:r>
        <w:rPr>
          <w:rFonts w:hint="eastAsia"/>
        </w:rPr>
        <w:t>带智能功能的</w:t>
      </w:r>
      <w:r>
        <w:rPr>
          <w:rFonts w:hint="eastAsia" w:cs="Times New Roman"/>
          <w:szCs w:val="21"/>
        </w:rPr>
        <w:t>快速冷却柜和快速冻结柜</w:t>
      </w:r>
      <w:r>
        <w:rPr>
          <w:rFonts w:hint="eastAsia"/>
        </w:rPr>
        <w:t>应包括且不限于以下智能化功能：</w:t>
      </w:r>
    </w:p>
    <w:p>
      <w:pPr>
        <w:pStyle w:val="246"/>
        <w:numPr>
          <w:ilvl w:val="0"/>
          <w:numId w:val="26"/>
        </w:numPr>
      </w:pPr>
      <w:r>
        <w:rPr>
          <w:rFonts w:hint="eastAsia"/>
        </w:rPr>
        <w:t>远程定位功能：通过客户终端可查看到</w:t>
      </w:r>
      <w:r>
        <w:rPr>
          <w:rFonts w:hint="eastAsia"/>
          <w:szCs w:val="21"/>
        </w:rPr>
        <w:t>快速冷却柜和快速冻结柜</w:t>
      </w:r>
      <w:r>
        <w:rPr>
          <w:rFonts w:hint="eastAsia"/>
        </w:rPr>
        <w:t>位置；</w:t>
      </w:r>
    </w:p>
    <w:p>
      <w:pPr>
        <w:pStyle w:val="246"/>
        <w:numPr>
          <w:ilvl w:val="0"/>
          <w:numId w:val="26"/>
        </w:numPr>
        <w:rPr>
          <w:kern w:val="2"/>
          <w:szCs w:val="22"/>
        </w:rPr>
      </w:pPr>
      <w:r>
        <w:rPr>
          <w:rFonts w:hint="eastAsia"/>
          <w:kern w:val="2"/>
          <w:szCs w:val="22"/>
        </w:rPr>
        <w:t>远程控制功能：通过客户终端实现温度、湿度控制功能；</w:t>
      </w:r>
    </w:p>
    <w:p>
      <w:pPr>
        <w:pStyle w:val="246"/>
        <w:numPr>
          <w:ilvl w:val="0"/>
          <w:numId w:val="26"/>
        </w:numPr>
        <w:rPr>
          <w:kern w:val="2"/>
          <w:szCs w:val="22"/>
        </w:rPr>
      </w:pPr>
      <w:r>
        <w:rPr>
          <w:rFonts w:hint="eastAsia"/>
          <w:kern w:val="2"/>
          <w:szCs w:val="22"/>
        </w:rPr>
        <w:t>远程巡检功能：通过客户终端查看</w:t>
      </w:r>
      <w:r>
        <w:rPr>
          <w:rFonts w:hint="eastAsia"/>
          <w:szCs w:val="21"/>
        </w:rPr>
        <w:t>快速冷却柜和快速冻结柜</w:t>
      </w:r>
      <w:r>
        <w:rPr>
          <w:rFonts w:hint="eastAsia"/>
          <w:kern w:val="2"/>
          <w:szCs w:val="22"/>
        </w:rPr>
        <w:t>的运行状态、储物情况等。</w:t>
      </w:r>
    </w:p>
    <w:p>
      <w:pPr>
        <w:pStyle w:val="117"/>
        <w:spacing w:before="312" w:after="312"/>
        <w:rPr>
          <w:szCs w:val="21"/>
        </w:rPr>
      </w:pPr>
      <w:r>
        <w:rPr>
          <w:rFonts w:hint="eastAsia"/>
          <w:szCs w:val="21"/>
        </w:rPr>
        <w:t>试验方法</w:t>
      </w:r>
    </w:p>
    <w:p>
      <w:pPr>
        <w:pStyle w:val="119"/>
        <w:spacing w:before="156" w:after="156"/>
        <w:ind w:left="0"/>
        <w:rPr>
          <w:szCs w:val="21"/>
        </w:rPr>
      </w:pPr>
      <w:r>
        <w:rPr>
          <w:rFonts w:hint="eastAsia"/>
          <w:szCs w:val="21"/>
        </w:rPr>
        <w:t>试验条件</w:t>
      </w:r>
    </w:p>
    <w:p>
      <w:pPr>
        <w:pStyle w:val="131"/>
        <w:widowControl w:val="0"/>
        <w:numPr>
          <w:ilvl w:val="2"/>
          <w:numId w:val="0"/>
        </w:numPr>
        <w:ind w:firstLine="420" w:firstLineChars="200"/>
        <w:rPr>
          <w:w w:val="105"/>
        </w:rPr>
      </w:pPr>
      <w:r>
        <w:rPr>
          <w:rFonts w:hint="eastAsia"/>
        </w:rPr>
        <w:t>按</w:t>
      </w:r>
      <w:r>
        <w:rPr>
          <w:rFonts w:hint="eastAsia" w:cs="Times New Roman"/>
          <w:szCs w:val="21"/>
        </w:rPr>
        <w:t>SB</w:t>
      </w:r>
      <w:r>
        <w:rPr>
          <w:rFonts w:cs="Times New Roman"/>
          <w:szCs w:val="21"/>
        </w:rPr>
        <w:t>/</w:t>
      </w:r>
      <w:r>
        <w:rPr>
          <w:rFonts w:hint="eastAsia" w:cs="Times New Roman"/>
          <w:szCs w:val="21"/>
        </w:rPr>
        <w:t>T 11048—2013中</w:t>
      </w:r>
      <w:r>
        <w:rPr>
          <w:rFonts w:hint="eastAsia"/>
        </w:rPr>
        <w:t>6.1的规定执行。</w:t>
      </w:r>
    </w:p>
    <w:p>
      <w:pPr>
        <w:pStyle w:val="119"/>
        <w:spacing w:before="156" w:after="156"/>
        <w:ind w:left="0"/>
        <w:rPr>
          <w:rFonts w:hint="eastAsia" w:eastAsia="黑体"/>
          <w:spacing w:val="-1"/>
          <w:lang w:eastAsia="zh-CN"/>
        </w:rPr>
      </w:pPr>
      <w:r>
        <w:rPr>
          <w:spacing w:val="-1"/>
        </w:rPr>
        <w:t>结构和材料</w:t>
      </w:r>
      <w:r>
        <w:rPr>
          <w:rFonts w:hint="eastAsia"/>
          <w:spacing w:val="-1"/>
          <w:lang w:eastAsia="zh-CN"/>
        </w:rPr>
        <w:t>及外观</w:t>
      </w:r>
    </w:p>
    <w:p>
      <w:pPr>
        <w:pStyle w:val="237"/>
        <w:rPr>
          <w:kern w:val="2"/>
          <w:szCs w:val="22"/>
        </w:rPr>
      </w:pPr>
      <w:r>
        <w:rPr>
          <w:rFonts w:hint="eastAsia"/>
          <w:kern w:val="2"/>
          <w:szCs w:val="22"/>
        </w:rPr>
        <w:t>采用目测、手感方法进行检查。</w:t>
      </w:r>
    </w:p>
    <w:p>
      <w:pPr>
        <w:pStyle w:val="119"/>
        <w:spacing w:before="156" w:after="156"/>
        <w:ind w:left="0"/>
      </w:pPr>
      <w:r>
        <w:rPr>
          <w:rFonts w:hint="eastAsia"/>
        </w:rPr>
        <w:t>制冷系统的密封性</w:t>
      </w:r>
    </w:p>
    <w:p>
      <w:pPr>
        <w:pStyle w:val="23"/>
        <w:ind w:firstLine="420"/>
      </w:pPr>
      <w:r>
        <w:rPr>
          <w:rFonts w:hint="eastAsia"/>
        </w:rPr>
        <w:t>按</w:t>
      </w:r>
      <w:r>
        <w:rPr>
          <w:rFonts w:hint="eastAsia" w:cs="Times New Roman"/>
          <w:szCs w:val="21"/>
        </w:rPr>
        <w:t>SB</w:t>
      </w:r>
      <w:r>
        <w:rPr>
          <w:rFonts w:cs="Times New Roman"/>
          <w:szCs w:val="21"/>
        </w:rPr>
        <w:t>/</w:t>
      </w:r>
      <w:r>
        <w:rPr>
          <w:rFonts w:hint="eastAsia" w:cs="Times New Roman"/>
          <w:szCs w:val="21"/>
        </w:rPr>
        <w:t>T 11048—2013中6.2.1规定的试验方法进行。</w:t>
      </w:r>
    </w:p>
    <w:p>
      <w:pPr>
        <w:pStyle w:val="119"/>
        <w:spacing w:before="156" w:after="156"/>
        <w:ind w:left="0"/>
      </w:pPr>
      <w:r>
        <w:rPr>
          <w:rFonts w:hint="eastAsia"/>
        </w:rPr>
        <w:t>耗电量</w:t>
      </w:r>
    </w:p>
    <w:p>
      <w:pPr>
        <w:pStyle w:val="23"/>
        <w:ind w:firstLine="420"/>
      </w:pPr>
      <w:r>
        <w:rPr>
          <w:rFonts w:hint="eastAsia"/>
        </w:rPr>
        <w:t>按</w:t>
      </w:r>
      <w:r>
        <w:rPr>
          <w:rFonts w:hint="eastAsia" w:cs="Times New Roman"/>
          <w:szCs w:val="21"/>
        </w:rPr>
        <w:t>SB</w:t>
      </w:r>
      <w:r>
        <w:rPr>
          <w:rFonts w:cs="Times New Roman"/>
          <w:szCs w:val="21"/>
        </w:rPr>
        <w:t>/</w:t>
      </w:r>
      <w:r>
        <w:rPr>
          <w:rFonts w:hint="eastAsia" w:cs="Times New Roman"/>
          <w:szCs w:val="21"/>
        </w:rPr>
        <w:t>T 11048—2013中6.2.2规定的试验方法进行。</w:t>
      </w:r>
    </w:p>
    <w:p>
      <w:pPr>
        <w:pStyle w:val="119"/>
        <w:spacing w:before="156" w:after="156"/>
        <w:ind w:left="0"/>
      </w:pPr>
      <w:r>
        <w:rPr>
          <w:rFonts w:hint="eastAsia"/>
        </w:rPr>
        <w:t>蒸发器结霜</w:t>
      </w:r>
    </w:p>
    <w:p>
      <w:pPr>
        <w:pStyle w:val="23"/>
        <w:ind w:firstLine="420"/>
      </w:pPr>
      <w:r>
        <w:rPr>
          <w:rFonts w:hint="eastAsia"/>
        </w:rPr>
        <w:t>按</w:t>
      </w:r>
      <w:r>
        <w:rPr>
          <w:rFonts w:hint="eastAsia" w:cs="Times New Roman"/>
          <w:szCs w:val="21"/>
        </w:rPr>
        <w:t>SB</w:t>
      </w:r>
      <w:r>
        <w:rPr>
          <w:rFonts w:cs="Times New Roman"/>
          <w:szCs w:val="21"/>
        </w:rPr>
        <w:t>/</w:t>
      </w:r>
      <w:r>
        <w:rPr>
          <w:rFonts w:hint="eastAsia" w:cs="Times New Roman"/>
          <w:szCs w:val="21"/>
        </w:rPr>
        <w:t>T 11048—2013中6.2.3规定的试验方法进行。</w:t>
      </w:r>
    </w:p>
    <w:p>
      <w:pPr>
        <w:pStyle w:val="119"/>
        <w:spacing w:before="156" w:after="156"/>
        <w:ind w:left="0"/>
      </w:pPr>
      <w:r>
        <w:rPr>
          <w:rFonts w:hint="eastAsia"/>
        </w:rPr>
        <w:t>噪声</w:t>
      </w:r>
    </w:p>
    <w:p>
      <w:pPr>
        <w:pStyle w:val="23"/>
        <w:ind w:firstLine="420"/>
      </w:pPr>
      <w:r>
        <w:rPr>
          <w:rFonts w:hint="eastAsia"/>
        </w:rPr>
        <w:t>按</w:t>
      </w:r>
      <w:r>
        <w:rPr>
          <w:rFonts w:hint="eastAsia" w:cs="Times New Roman"/>
          <w:szCs w:val="21"/>
        </w:rPr>
        <w:t>SB</w:t>
      </w:r>
      <w:r>
        <w:rPr>
          <w:rFonts w:cs="Times New Roman"/>
          <w:szCs w:val="21"/>
        </w:rPr>
        <w:t>/</w:t>
      </w:r>
      <w:r>
        <w:rPr>
          <w:rFonts w:hint="eastAsia" w:cs="Times New Roman"/>
          <w:szCs w:val="21"/>
        </w:rPr>
        <w:t>T 11048—2013中6.2.4规定的试验方法进行。</w:t>
      </w:r>
    </w:p>
    <w:p>
      <w:pPr>
        <w:pStyle w:val="119"/>
        <w:spacing w:before="156" w:after="156"/>
        <w:ind w:left="0"/>
      </w:pPr>
      <w:r>
        <w:rPr>
          <w:rFonts w:hint="eastAsia"/>
        </w:rPr>
        <w:t>耐电压波动</w:t>
      </w:r>
    </w:p>
    <w:p>
      <w:pPr>
        <w:pStyle w:val="23"/>
        <w:ind w:firstLine="407" w:firstLineChars="194"/>
      </w:pPr>
      <w:r>
        <w:rPr>
          <w:rFonts w:hint="eastAsia"/>
        </w:rPr>
        <w:t>将冷柜置于相应的标准气候类型温度下试验。使电压为额</w:t>
      </w:r>
      <w:r>
        <w:rPr>
          <w:rFonts w:hint="eastAsia"/>
          <w:color w:val="auto"/>
        </w:rPr>
        <w:t>定电压的85%及115%条件下各运</w:t>
      </w:r>
      <w:r>
        <w:rPr>
          <w:rFonts w:hint="eastAsia"/>
        </w:rPr>
        <w:t>行1</w:t>
      </w:r>
      <w:r>
        <w:rPr>
          <w:rFonts w:hint="eastAsia"/>
          <w:lang w:val="en-US" w:eastAsia="zh-CN"/>
        </w:rPr>
        <w:t xml:space="preserve"> </w:t>
      </w:r>
      <w:r>
        <w:rPr>
          <w:rFonts w:hint="eastAsia"/>
        </w:rPr>
        <w:t>h。冷柜应运行正常。</w:t>
      </w:r>
    </w:p>
    <w:p>
      <w:pPr>
        <w:pStyle w:val="119"/>
        <w:spacing w:before="156" w:after="156"/>
        <w:ind w:left="0"/>
        <w:rPr>
          <w:szCs w:val="21"/>
        </w:rPr>
      </w:pPr>
      <w:r>
        <w:rPr>
          <w:rFonts w:hint="eastAsia"/>
        </w:rPr>
        <w:t>启动性能</w:t>
      </w:r>
    </w:p>
    <w:p>
      <w:pPr>
        <w:pStyle w:val="23"/>
        <w:ind w:firstLine="420"/>
        <w:rPr>
          <w:rFonts w:cs="Times New Roman"/>
          <w:szCs w:val="21"/>
        </w:rPr>
      </w:pPr>
      <w:r>
        <w:rPr>
          <w:rFonts w:hint="eastAsia"/>
        </w:rPr>
        <w:t>按</w:t>
      </w:r>
      <w:r>
        <w:rPr>
          <w:rFonts w:hint="eastAsia" w:cs="Times New Roman"/>
          <w:szCs w:val="21"/>
        </w:rPr>
        <w:t>SB</w:t>
      </w:r>
      <w:r>
        <w:rPr>
          <w:rFonts w:cs="Times New Roman"/>
          <w:szCs w:val="21"/>
        </w:rPr>
        <w:t>/</w:t>
      </w:r>
      <w:r>
        <w:rPr>
          <w:rFonts w:hint="eastAsia" w:cs="Times New Roman"/>
          <w:szCs w:val="21"/>
        </w:rPr>
        <w:t>T 11048—2013中6.2.6规定的试验方法进行。</w:t>
      </w:r>
    </w:p>
    <w:p>
      <w:pPr>
        <w:pStyle w:val="119"/>
        <w:spacing w:before="156" w:after="156"/>
        <w:ind w:left="0"/>
        <w:rPr>
          <w:szCs w:val="21"/>
        </w:rPr>
      </w:pPr>
      <w:r>
        <w:rPr>
          <w:rFonts w:hint="eastAsia"/>
          <w:szCs w:val="21"/>
        </w:rPr>
        <w:t>性能试验</w:t>
      </w:r>
    </w:p>
    <w:p>
      <w:pPr>
        <w:pStyle w:val="121"/>
        <w:spacing w:before="156" w:after="156"/>
        <w:ind w:left="-426" w:firstLine="424" w:firstLineChars="202"/>
      </w:pPr>
      <w:r>
        <w:rPr>
          <w:rFonts w:hint="eastAsia"/>
        </w:rPr>
        <w:t>速冻性能</w:t>
      </w:r>
      <w:r>
        <w:t>降温</w:t>
      </w:r>
    </w:p>
    <w:p>
      <w:pPr>
        <w:pStyle w:val="23"/>
        <w:ind w:firstLine="420"/>
        <w:rPr>
          <w:rFonts w:cs="Times New Roman"/>
          <w:szCs w:val="21"/>
        </w:rPr>
      </w:pPr>
      <w:r>
        <w:rPr>
          <w:rFonts w:hint="eastAsia"/>
        </w:rPr>
        <w:t>按</w:t>
      </w:r>
      <w:r>
        <w:rPr>
          <w:rFonts w:hint="eastAsia" w:cs="Times New Roman"/>
          <w:szCs w:val="21"/>
        </w:rPr>
        <w:t>SB</w:t>
      </w:r>
      <w:r>
        <w:rPr>
          <w:rFonts w:cs="Times New Roman"/>
          <w:szCs w:val="21"/>
        </w:rPr>
        <w:t>/</w:t>
      </w:r>
      <w:r>
        <w:rPr>
          <w:rFonts w:hint="eastAsia" w:cs="Times New Roman"/>
          <w:szCs w:val="21"/>
        </w:rPr>
        <w:t>T 11048—2013中6.2.7规定的试验方法进行。</w:t>
      </w:r>
    </w:p>
    <w:p>
      <w:pPr>
        <w:pStyle w:val="121"/>
        <w:spacing w:before="156" w:after="156"/>
        <w:ind w:left="-426" w:firstLine="424" w:firstLineChars="202"/>
      </w:pPr>
      <w:r>
        <w:rPr>
          <w:rFonts w:hint="eastAsia"/>
        </w:rPr>
        <w:t>空载降温</w:t>
      </w:r>
    </w:p>
    <w:p>
      <w:pPr>
        <w:pStyle w:val="23"/>
        <w:ind w:firstLine="420"/>
      </w:pPr>
      <w:r>
        <w:rPr>
          <w:rFonts w:hint="eastAsia"/>
        </w:rPr>
        <w:t>试验前，快速冷却柜和快速冻结柜在16～38 ℃室温下放置，不通电，并使样机与室温达到平衡。样机空载时，接通电供冷，从正常开机开始计时，记录样机内循环空气从环境温度降到-30℃所需的时间。</w:t>
      </w:r>
    </w:p>
    <w:p>
      <w:pPr>
        <w:pStyle w:val="119"/>
        <w:spacing w:before="156" w:after="156"/>
        <w:ind w:left="0"/>
        <w:rPr>
          <w:szCs w:val="21"/>
        </w:rPr>
      </w:pPr>
      <w:r>
        <w:rPr>
          <w:rFonts w:hint="eastAsia"/>
          <w:szCs w:val="21"/>
        </w:rPr>
        <w:t>门和盖的密封</w:t>
      </w:r>
    </w:p>
    <w:p>
      <w:pPr>
        <w:pStyle w:val="23"/>
        <w:ind w:firstLine="420"/>
      </w:pPr>
      <w:r>
        <w:rPr>
          <w:rFonts w:hint="eastAsia"/>
        </w:rPr>
        <w:t>按</w:t>
      </w:r>
      <w:r>
        <w:rPr>
          <w:rFonts w:hint="eastAsia" w:cs="Times New Roman"/>
          <w:szCs w:val="21"/>
        </w:rPr>
        <w:t>SB</w:t>
      </w:r>
      <w:r>
        <w:rPr>
          <w:rFonts w:cs="Times New Roman"/>
          <w:szCs w:val="21"/>
        </w:rPr>
        <w:t>/</w:t>
      </w:r>
      <w:r>
        <w:rPr>
          <w:rFonts w:hint="eastAsia" w:cs="Times New Roman"/>
          <w:szCs w:val="21"/>
        </w:rPr>
        <w:t>T 11048—2013中6.2.8规定的试验方法进行。</w:t>
      </w:r>
    </w:p>
    <w:p>
      <w:pPr>
        <w:pStyle w:val="119"/>
        <w:spacing w:before="156" w:after="156"/>
        <w:ind w:left="0"/>
        <w:rPr>
          <w:szCs w:val="21"/>
        </w:rPr>
      </w:pPr>
      <w:r>
        <w:rPr>
          <w:rFonts w:hint="eastAsia"/>
          <w:szCs w:val="21"/>
        </w:rPr>
        <w:t>卫生安全</w:t>
      </w:r>
    </w:p>
    <w:p>
      <w:pPr>
        <w:pStyle w:val="121"/>
        <w:spacing w:before="156" w:after="156"/>
        <w:ind w:left="-426" w:firstLine="424" w:firstLineChars="202"/>
        <w:rPr>
          <w:szCs w:val="21"/>
        </w:rPr>
      </w:pPr>
      <w:r>
        <w:rPr>
          <w:rFonts w:hint="eastAsia"/>
          <w:szCs w:val="21"/>
        </w:rPr>
        <w:t>制冷系统安全</w:t>
      </w:r>
    </w:p>
    <w:p>
      <w:pPr>
        <w:pStyle w:val="23"/>
        <w:ind w:firstLine="420"/>
      </w:pPr>
      <w:r>
        <w:rPr>
          <w:rFonts w:hint="eastAsia"/>
        </w:rPr>
        <w:t>按</w:t>
      </w:r>
      <w:r>
        <w:rPr>
          <w:rFonts w:hint="eastAsia" w:cs="Times New Roman"/>
          <w:szCs w:val="21"/>
        </w:rPr>
        <w:t>GB/T 9237</w:t>
      </w:r>
      <w:r>
        <w:rPr>
          <w:rFonts w:hint="eastAsia"/>
        </w:rPr>
        <w:t>规定的试验方法进行。</w:t>
      </w:r>
    </w:p>
    <w:p>
      <w:pPr>
        <w:pStyle w:val="121"/>
        <w:spacing w:before="156" w:after="156"/>
        <w:ind w:left="-426" w:firstLine="424" w:firstLineChars="202"/>
        <w:rPr>
          <w:szCs w:val="21"/>
        </w:rPr>
      </w:pPr>
      <w:r>
        <w:rPr>
          <w:rFonts w:hint="eastAsia"/>
          <w:szCs w:val="21"/>
        </w:rPr>
        <w:t>机械安全和电气安全</w:t>
      </w:r>
    </w:p>
    <w:p>
      <w:pPr>
        <w:ind w:firstLine="420" w:firstLineChars="200"/>
      </w:pPr>
      <w:r>
        <w:rPr>
          <w:rFonts w:hint="eastAsia"/>
        </w:rPr>
        <w:t>按</w:t>
      </w:r>
      <w:r>
        <w:t>GB 4706.1</w:t>
      </w:r>
      <w:r>
        <w:rPr>
          <w:rFonts w:hint="eastAsia"/>
        </w:rPr>
        <w:t>和</w:t>
      </w:r>
      <w:r>
        <w:t>GB 4706.102</w:t>
      </w:r>
      <w:r>
        <w:rPr>
          <w:rFonts w:hint="eastAsia"/>
        </w:rPr>
        <w:t>规定的试验方法进行。</w:t>
      </w:r>
    </w:p>
    <w:p>
      <w:pPr>
        <w:pStyle w:val="121"/>
        <w:spacing w:before="156" w:after="156"/>
        <w:ind w:left="-426" w:firstLine="424" w:firstLineChars="202"/>
        <w:rPr>
          <w:szCs w:val="21"/>
        </w:rPr>
      </w:pPr>
      <w:r>
        <w:rPr>
          <w:rFonts w:hint="eastAsia"/>
          <w:szCs w:val="21"/>
        </w:rPr>
        <w:t>电磁兼容</w:t>
      </w:r>
    </w:p>
    <w:p>
      <w:pPr>
        <w:ind w:firstLine="420" w:firstLineChars="200"/>
      </w:pPr>
      <w:r>
        <w:rPr>
          <w:rFonts w:hint="eastAsia"/>
        </w:rPr>
        <w:t>按</w:t>
      </w:r>
      <w:r>
        <w:t>GB 17625.1</w:t>
      </w:r>
      <w:r>
        <w:rPr>
          <w:rFonts w:hint="eastAsia"/>
        </w:rPr>
        <w:t>和</w:t>
      </w:r>
      <w:r>
        <w:t>GB 4343.1</w:t>
      </w:r>
      <w:r>
        <w:rPr>
          <w:rFonts w:hint="eastAsia"/>
        </w:rPr>
        <w:t>、</w:t>
      </w:r>
      <w:r>
        <w:t>GB/T 4343.2</w:t>
      </w:r>
      <w:r>
        <w:rPr>
          <w:rFonts w:hint="eastAsia"/>
        </w:rPr>
        <w:t>规定的试验方法进行。</w:t>
      </w:r>
    </w:p>
    <w:p>
      <w:pPr>
        <w:pStyle w:val="121"/>
        <w:spacing w:before="156" w:after="156"/>
        <w:ind w:left="-426" w:firstLine="424" w:firstLineChars="202"/>
        <w:rPr>
          <w:szCs w:val="21"/>
        </w:rPr>
      </w:pPr>
      <w:r>
        <w:rPr>
          <w:rFonts w:hint="eastAsia"/>
          <w:szCs w:val="21"/>
        </w:rPr>
        <w:t>与食品接触材料安全</w:t>
      </w:r>
    </w:p>
    <w:p>
      <w:pPr>
        <w:ind w:firstLine="420" w:firstLineChars="200"/>
      </w:pPr>
      <w:r>
        <w:rPr>
          <w:rFonts w:hint="eastAsia"/>
        </w:rPr>
        <w:t>按GB 4806.1和表2规定的试验方法进行。</w:t>
      </w:r>
    </w:p>
    <w:p>
      <w:pPr>
        <w:pStyle w:val="121"/>
        <w:spacing w:before="156" w:after="156"/>
        <w:ind w:left="-426" w:firstLine="424" w:firstLineChars="202"/>
        <w:rPr>
          <w:szCs w:val="21"/>
        </w:rPr>
      </w:pPr>
      <w:r>
        <w:rPr>
          <w:rFonts w:hint="eastAsia"/>
          <w:szCs w:val="21"/>
        </w:rPr>
        <w:t>抗菌</w:t>
      </w:r>
    </w:p>
    <w:p>
      <w:pPr>
        <w:ind w:firstLine="420" w:firstLineChars="200"/>
      </w:pPr>
      <w:r>
        <w:rPr>
          <w:rFonts w:hint="eastAsia"/>
        </w:rPr>
        <w:t>按</w:t>
      </w:r>
      <w:r>
        <w:t>GB 21551.1</w:t>
      </w:r>
      <w:r>
        <w:rPr>
          <w:rFonts w:hint="eastAsia"/>
        </w:rPr>
        <w:t>、</w:t>
      </w:r>
      <w:r>
        <w:t>GB 21551.2</w:t>
      </w:r>
      <w:r>
        <w:rPr>
          <w:rFonts w:hint="eastAsia"/>
        </w:rPr>
        <w:t>和</w:t>
      </w:r>
      <w:r>
        <w:t>GB 21551.4</w:t>
      </w:r>
      <w:r>
        <w:rPr>
          <w:rFonts w:hint="eastAsia"/>
        </w:rPr>
        <w:t>规定的试验方法进行。</w:t>
      </w:r>
    </w:p>
    <w:p>
      <w:pPr>
        <w:pStyle w:val="119"/>
        <w:spacing w:before="156" w:after="156"/>
        <w:ind w:left="0"/>
        <w:rPr>
          <w:szCs w:val="21"/>
        </w:rPr>
      </w:pPr>
      <w:r>
        <w:rPr>
          <w:rFonts w:hint="eastAsia"/>
          <w:szCs w:val="21"/>
        </w:rPr>
        <w:t>环保性能试验</w:t>
      </w:r>
    </w:p>
    <w:p>
      <w:pPr>
        <w:pStyle w:val="121"/>
        <w:spacing w:before="156" w:after="156"/>
        <w:ind w:left="-426" w:firstLine="424" w:firstLineChars="202"/>
        <w:rPr>
          <w:szCs w:val="21"/>
        </w:rPr>
      </w:pPr>
      <w:r>
        <w:rPr>
          <w:rFonts w:hint="eastAsia"/>
          <w:szCs w:val="21"/>
        </w:rPr>
        <w:t>限用物质</w:t>
      </w:r>
    </w:p>
    <w:p>
      <w:pPr>
        <w:pStyle w:val="237"/>
        <w:rPr>
          <w:kern w:val="2"/>
          <w:szCs w:val="22"/>
        </w:rPr>
      </w:pPr>
      <w:r>
        <w:rPr>
          <w:rFonts w:hint="eastAsia"/>
          <w:kern w:val="2"/>
          <w:szCs w:val="22"/>
        </w:rPr>
        <w:t>按</w:t>
      </w:r>
      <w:r>
        <w:rPr>
          <w:kern w:val="2"/>
          <w:szCs w:val="22"/>
        </w:rPr>
        <w:t>GB/T 26572</w:t>
      </w:r>
      <w:r>
        <w:rPr>
          <w:rFonts w:hint="eastAsia"/>
          <w:kern w:val="2"/>
          <w:szCs w:val="22"/>
        </w:rPr>
        <w:t>和</w:t>
      </w:r>
      <w:r>
        <w:rPr>
          <w:kern w:val="2"/>
          <w:szCs w:val="22"/>
        </w:rPr>
        <w:t>GB/T 26125</w:t>
      </w:r>
      <w:r>
        <w:rPr>
          <w:rFonts w:hint="eastAsia"/>
        </w:rPr>
        <w:t>规定的试验方法进行</w:t>
      </w:r>
      <w:r>
        <w:rPr>
          <w:rFonts w:hint="eastAsia"/>
          <w:kern w:val="2"/>
          <w:szCs w:val="22"/>
        </w:rPr>
        <w:t>。</w:t>
      </w:r>
    </w:p>
    <w:p>
      <w:pPr>
        <w:pStyle w:val="121"/>
        <w:spacing w:before="156" w:after="156"/>
        <w:ind w:left="-426" w:firstLine="424" w:firstLineChars="202"/>
        <w:rPr>
          <w:szCs w:val="21"/>
        </w:rPr>
      </w:pPr>
      <w:r>
        <w:rPr>
          <w:rFonts w:hint="eastAsia"/>
          <w:szCs w:val="21"/>
        </w:rPr>
        <w:t>制冷剂类型</w:t>
      </w:r>
    </w:p>
    <w:p>
      <w:pPr>
        <w:pStyle w:val="237"/>
        <w:rPr>
          <w:kern w:val="2"/>
          <w:szCs w:val="22"/>
        </w:rPr>
      </w:pPr>
      <w:r>
        <w:rPr>
          <w:kern w:val="2"/>
          <w:szCs w:val="22"/>
        </w:rPr>
        <w:t>R290</w:t>
      </w:r>
      <w:r>
        <w:rPr>
          <w:rFonts w:hint="eastAsia"/>
          <w:kern w:val="2"/>
          <w:szCs w:val="22"/>
        </w:rPr>
        <w:t>环保制冷剂的类型以检查铭牌参数或技术文件进行检查验证。</w:t>
      </w:r>
    </w:p>
    <w:p>
      <w:pPr>
        <w:pStyle w:val="119"/>
        <w:spacing w:before="156" w:after="156"/>
        <w:ind w:left="0"/>
        <w:rPr>
          <w:szCs w:val="21"/>
        </w:rPr>
      </w:pPr>
      <w:r>
        <w:rPr>
          <w:rFonts w:hint="eastAsia"/>
          <w:szCs w:val="21"/>
        </w:rPr>
        <w:t>智能化功能试验</w:t>
      </w:r>
    </w:p>
    <w:p>
      <w:pPr>
        <w:ind w:firstLine="420" w:firstLineChars="200"/>
      </w:pPr>
      <w:r>
        <w:rPr>
          <w:rFonts w:hint="eastAsia"/>
        </w:rPr>
        <w:t>采用功能验证的方法进行检查。</w:t>
      </w:r>
    </w:p>
    <w:p>
      <w:pPr>
        <w:pStyle w:val="117"/>
        <w:spacing w:before="312" w:after="312"/>
      </w:pPr>
      <w:r>
        <w:rPr>
          <w:rFonts w:hint="eastAsia"/>
        </w:rPr>
        <w:t>检验规则</w:t>
      </w:r>
    </w:p>
    <w:p>
      <w:pPr>
        <w:pStyle w:val="119"/>
        <w:spacing w:before="156" w:after="156"/>
        <w:ind w:left="0"/>
      </w:pPr>
      <w:r>
        <w:rPr>
          <w:rFonts w:hint="eastAsia"/>
        </w:rPr>
        <w:t>检验分类</w:t>
      </w:r>
    </w:p>
    <w:p>
      <w:pPr>
        <w:pStyle w:val="23"/>
        <w:ind w:firstLine="420"/>
      </w:pPr>
      <w:r>
        <w:rPr>
          <w:rFonts w:hint="eastAsia"/>
        </w:rPr>
        <w:t>分为出厂检验和型式检验。</w:t>
      </w:r>
    </w:p>
    <w:p>
      <w:pPr>
        <w:pStyle w:val="119"/>
        <w:spacing w:before="156" w:after="156"/>
        <w:ind w:left="0"/>
      </w:pPr>
      <w:r>
        <w:rPr>
          <w:rFonts w:hint="eastAsia"/>
        </w:rPr>
        <w:t>出厂检验</w:t>
      </w:r>
    </w:p>
    <w:p>
      <w:pPr>
        <w:pStyle w:val="131"/>
        <w:widowControl w:val="0"/>
        <w:ind w:left="0"/>
        <w:rPr>
          <w:spacing w:val="-3"/>
          <w:w w:val="105"/>
          <w:szCs w:val="21"/>
        </w:rPr>
      </w:pPr>
      <w:r>
        <w:rPr>
          <w:rFonts w:hint="eastAsia" w:hAnsi="Times New Roman"/>
        </w:rPr>
        <w:t>快速冷却柜和快速冻结柜</w:t>
      </w:r>
      <w:r>
        <w:rPr>
          <w:rFonts w:hAnsi="Times New Roman"/>
        </w:rPr>
        <w:t>应经制造厂质量检验部门检验合格后，并附有质量检验合格证、使用说明书、保修单及装箱清单后方可出厂。</w:t>
      </w:r>
    </w:p>
    <w:p>
      <w:pPr>
        <w:pStyle w:val="131"/>
        <w:widowControl w:val="0"/>
        <w:ind w:left="0"/>
      </w:pPr>
      <w:r>
        <w:rPr>
          <w:rFonts w:hint="eastAsia"/>
        </w:rPr>
        <w:t>出厂检验项目及其不合格分类按表4规定。</w:t>
      </w:r>
    </w:p>
    <w:p>
      <w:pPr>
        <w:pStyle w:val="208"/>
        <w:tabs>
          <w:tab w:val="left" w:pos="0"/>
        </w:tabs>
        <w:spacing w:before="156" w:after="156"/>
        <w:rPr>
          <w:w w:val="105"/>
        </w:rPr>
      </w:pPr>
      <w:r>
        <w:rPr>
          <w:rFonts w:hint="eastAsia"/>
          <w:w w:val="105"/>
        </w:rPr>
        <w:t>出厂检验</w:t>
      </w:r>
      <w:r>
        <w:rPr>
          <w:w w:val="105"/>
        </w:rPr>
        <w:t>项目</w:t>
      </w:r>
      <w:r>
        <w:rPr>
          <w:rFonts w:hint="eastAsia"/>
          <w:w w:val="105"/>
        </w:rPr>
        <w:t>及其</w:t>
      </w:r>
      <w:r>
        <w:rPr>
          <w:w w:val="105"/>
        </w:rPr>
        <w:t>不合格分类</w:t>
      </w:r>
    </w:p>
    <w:tbl>
      <w:tblPr>
        <w:tblStyle w:val="18"/>
        <w:tblW w:w="9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300"/>
        <w:gridCol w:w="1605"/>
        <w:gridCol w:w="1836"/>
        <w:gridCol w:w="615"/>
        <w:gridCol w:w="66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序号</w:t>
            </w:r>
          </w:p>
        </w:tc>
        <w:tc>
          <w:tcPr>
            <w:tcW w:w="330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检验项目</w:t>
            </w:r>
          </w:p>
        </w:tc>
        <w:tc>
          <w:tcPr>
            <w:tcW w:w="1605"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要求</w:t>
            </w:r>
          </w:p>
        </w:tc>
        <w:tc>
          <w:tcPr>
            <w:tcW w:w="1836"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试验方法</w:t>
            </w:r>
          </w:p>
        </w:tc>
        <w:tc>
          <w:tcPr>
            <w:tcW w:w="1920" w:type="dxa"/>
            <w:gridSpan w:val="3"/>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numPr>
                <w:ilvl w:val="0"/>
                <w:numId w:val="2"/>
              </w:numPr>
              <w:tabs>
                <w:tab w:val="left" w:pos="850"/>
              </w:tabs>
              <w:jc w:val="center"/>
              <w:rPr>
                <w:rFonts w:hAnsi="宋体" w:cs="宋体"/>
                <w:sz w:val="18"/>
                <w:szCs w:val="18"/>
              </w:rPr>
            </w:pPr>
          </w:p>
        </w:tc>
        <w:tc>
          <w:tcPr>
            <w:tcW w:w="3300" w:type="dxa"/>
            <w:vMerge w:val="continue"/>
            <w:tcBorders>
              <w:bottom w:val="single" w:color="auto" w:sz="12" w:space="0"/>
            </w:tcBorders>
            <w:vAlign w:val="center"/>
          </w:tcPr>
          <w:p>
            <w:pPr>
              <w:numPr>
                <w:ilvl w:val="0"/>
                <w:numId w:val="2"/>
              </w:numPr>
              <w:tabs>
                <w:tab w:val="left" w:pos="850"/>
              </w:tabs>
              <w:jc w:val="center"/>
              <w:rPr>
                <w:rFonts w:hAnsi="宋体" w:cs="宋体"/>
                <w:sz w:val="18"/>
                <w:szCs w:val="18"/>
              </w:rPr>
            </w:pPr>
          </w:p>
        </w:tc>
        <w:tc>
          <w:tcPr>
            <w:tcW w:w="1605" w:type="dxa"/>
            <w:vMerge w:val="continue"/>
            <w:tcBorders>
              <w:bottom w:val="single" w:color="auto" w:sz="12" w:space="0"/>
            </w:tcBorders>
            <w:vAlign w:val="center"/>
          </w:tcPr>
          <w:p>
            <w:pPr>
              <w:numPr>
                <w:ilvl w:val="0"/>
                <w:numId w:val="2"/>
              </w:numPr>
              <w:tabs>
                <w:tab w:val="left" w:pos="850"/>
              </w:tabs>
              <w:jc w:val="center"/>
              <w:rPr>
                <w:rFonts w:hAnsi="宋体" w:cs="宋体"/>
                <w:sz w:val="18"/>
                <w:szCs w:val="18"/>
              </w:rPr>
            </w:pPr>
          </w:p>
        </w:tc>
        <w:tc>
          <w:tcPr>
            <w:tcW w:w="1836" w:type="dxa"/>
            <w:vMerge w:val="continue"/>
            <w:tcBorders>
              <w:bottom w:val="single" w:color="auto" w:sz="12" w:space="0"/>
            </w:tcBorders>
            <w:vAlign w:val="center"/>
          </w:tcPr>
          <w:p>
            <w:pPr>
              <w:numPr>
                <w:ilvl w:val="0"/>
                <w:numId w:val="2"/>
              </w:numPr>
              <w:tabs>
                <w:tab w:val="left" w:pos="850"/>
              </w:tabs>
              <w:jc w:val="center"/>
              <w:rPr>
                <w:rFonts w:hAnsi="宋体" w:cs="宋体"/>
                <w:sz w:val="18"/>
                <w:szCs w:val="18"/>
              </w:rPr>
            </w:pPr>
          </w:p>
        </w:tc>
        <w:tc>
          <w:tcPr>
            <w:tcW w:w="615"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A</w:t>
            </w:r>
          </w:p>
        </w:tc>
        <w:tc>
          <w:tcPr>
            <w:tcW w:w="66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Ansi="宋体" w:cs="宋体"/>
                <w:sz w:val="18"/>
                <w:szCs w:val="18"/>
              </w:rPr>
              <w:t>B</w:t>
            </w:r>
          </w:p>
        </w:tc>
        <w:tc>
          <w:tcPr>
            <w:tcW w:w="645"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Ansi="宋体" w:cs="宋体"/>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1</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Ansi="宋体" w:cs="宋体"/>
                <w:sz w:val="18"/>
                <w:szCs w:val="18"/>
              </w:rPr>
              <w:t>结构和材料</w:t>
            </w:r>
          </w:p>
        </w:tc>
        <w:tc>
          <w:tcPr>
            <w:tcW w:w="160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w:t>
            </w:r>
          </w:p>
        </w:tc>
        <w:tc>
          <w:tcPr>
            <w:tcW w:w="1836"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6.2</w:t>
            </w:r>
          </w:p>
        </w:tc>
        <w:tc>
          <w:tcPr>
            <w:tcW w:w="61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2</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制冷系统密封性能</w:t>
            </w:r>
          </w:p>
        </w:tc>
        <w:tc>
          <w:tcPr>
            <w:tcW w:w="160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5.2</w:t>
            </w:r>
          </w:p>
        </w:tc>
        <w:tc>
          <w:tcPr>
            <w:tcW w:w="1836"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6.3</w:t>
            </w:r>
          </w:p>
        </w:tc>
        <w:tc>
          <w:tcPr>
            <w:tcW w:w="61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3</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Ansi="宋体" w:cs="宋体"/>
                <w:sz w:val="18"/>
                <w:szCs w:val="18"/>
              </w:rPr>
              <w:t>耗电量</w:t>
            </w:r>
          </w:p>
        </w:tc>
        <w:tc>
          <w:tcPr>
            <w:tcW w:w="160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5.3</w:t>
            </w:r>
          </w:p>
        </w:tc>
        <w:tc>
          <w:tcPr>
            <w:tcW w:w="1836"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6.4</w:t>
            </w:r>
          </w:p>
        </w:tc>
        <w:tc>
          <w:tcPr>
            <w:tcW w:w="61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4</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噪声</w:t>
            </w:r>
          </w:p>
        </w:tc>
        <w:tc>
          <w:tcPr>
            <w:tcW w:w="160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5.5</w:t>
            </w:r>
          </w:p>
        </w:tc>
        <w:tc>
          <w:tcPr>
            <w:tcW w:w="1836"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5.4.2</w:t>
            </w:r>
          </w:p>
        </w:tc>
        <w:tc>
          <w:tcPr>
            <w:tcW w:w="61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4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启动性能</w:t>
            </w:r>
          </w:p>
        </w:tc>
        <w:tc>
          <w:tcPr>
            <w:tcW w:w="160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5.7</w:t>
            </w:r>
          </w:p>
        </w:tc>
        <w:tc>
          <w:tcPr>
            <w:tcW w:w="1836"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6.8</w:t>
            </w:r>
          </w:p>
        </w:tc>
        <w:tc>
          <w:tcPr>
            <w:tcW w:w="61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60"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4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性能要求</w:t>
            </w:r>
          </w:p>
        </w:tc>
        <w:tc>
          <w:tcPr>
            <w:tcW w:w="160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5.8</w:t>
            </w:r>
          </w:p>
        </w:tc>
        <w:tc>
          <w:tcPr>
            <w:tcW w:w="1836"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6.9</w:t>
            </w:r>
          </w:p>
        </w:tc>
        <w:tc>
          <w:tcPr>
            <w:tcW w:w="61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7</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对触及带电部件的防护</w:t>
            </w:r>
          </w:p>
        </w:tc>
        <w:tc>
          <w:tcPr>
            <w:tcW w:w="1605" w:type="dxa"/>
            <w:vMerge w:val="restart"/>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5.10.2</w:t>
            </w:r>
          </w:p>
        </w:tc>
        <w:tc>
          <w:tcPr>
            <w:tcW w:w="1836" w:type="dxa"/>
            <w:vMerge w:val="restart"/>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6.11.2</w:t>
            </w:r>
          </w:p>
        </w:tc>
        <w:tc>
          <w:tcPr>
            <w:tcW w:w="61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8</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工作温度下的泄漏电流</w:t>
            </w:r>
          </w:p>
        </w:tc>
        <w:tc>
          <w:tcPr>
            <w:tcW w:w="1605"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1836"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61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9</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泄漏电流和电气强度</w:t>
            </w:r>
          </w:p>
        </w:tc>
        <w:tc>
          <w:tcPr>
            <w:tcW w:w="1605"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1836"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61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10</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稳定性和机械危险</w:t>
            </w:r>
          </w:p>
        </w:tc>
        <w:tc>
          <w:tcPr>
            <w:tcW w:w="1605"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1836"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61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11</w:t>
            </w:r>
          </w:p>
        </w:tc>
        <w:tc>
          <w:tcPr>
            <w:tcW w:w="3300"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电源连接和外部软线</w:t>
            </w:r>
          </w:p>
        </w:tc>
        <w:tc>
          <w:tcPr>
            <w:tcW w:w="1605"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1836"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61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12</w:t>
            </w:r>
          </w:p>
        </w:tc>
        <w:tc>
          <w:tcPr>
            <w:tcW w:w="3300" w:type="dxa"/>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接地措施</w:t>
            </w:r>
          </w:p>
        </w:tc>
        <w:tc>
          <w:tcPr>
            <w:tcW w:w="1605" w:type="dxa"/>
            <w:vMerge w:val="continue"/>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836" w:type="dxa"/>
            <w:vMerge w:val="continue"/>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15"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660"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645"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bl>
    <w:p>
      <w:pPr>
        <w:pStyle w:val="131"/>
        <w:widowControl w:val="0"/>
        <w:ind w:left="0"/>
        <w:rPr>
          <w:rFonts w:hAnsi="Times New Roman"/>
          <w:kern w:val="0"/>
          <w:szCs w:val="20"/>
        </w:rPr>
      </w:pPr>
      <w:r>
        <w:rPr>
          <w:rFonts w:hint="eastAsia" w:hAnsi="Times New Roman"/>
          <w:kern w:val="0"/>
          <w:szCs w:val="20"/>
        </w:rPr>
        <w:t>表4中序号为1、2、5、6、7、8、9为全检项目，其它项目为抽样检查。</w:t>
      </w:r>
    </w:p>
    <w:p>
      <w:pPr>
        <w:pStyle w:val="131"/>
        <w:widowControl w:val="0"/>
        <w:ind w:left="0"/>
        <w:rPr>
          <w:rFonts w:hAnsi="Times New Roman"/>
          <w:kern w:val="0"/>
          <w:szCs w:val="20"/>
        </w:rPr>
      </w:pPr>
      <w:r>
        <w:rPr>
          <w:rFonts w:hAnsi="Times New Roman"/>
          <w:kern w:val="0"/>
          <w:szCs w:val="20"/>
        </w:rPr>
        <w:t>出厂检验抽样按GB/T</w:t>
      </w:r>
      <w:r>
        <w:rPr>
          <w:rFonts w:hint="eastAsia" w:hAnsi="Times New Roman"/>
          <w:kern w:val="0"/>
          <w:szCs w:val="20"/>
        </w:rPr>
        <w:t xml:space="preserve"> </w:t>
      </w:r>
      <w:r>
        <w:rPr>
          <w:rFonts w:hAnsi="Times New Roman"/>
          <w:kern w:val="0"/>
          <w:szCs w:val="20"/>
        </w:rPr>
        <w:t>2828.1规定的一次正常抽样方案进</w:t>
      </w:r>
      <w:r>
        <w:rPr>
          <w:rFonts w:hint="eastAsia" w:hAnsi="Times New Roman"/>
          <w:kern w:val="0"/>
          <w:szCs w:val="20"/>
        </w:rPr>
        <w:t>行。A类不合格项为全检样本，应100%合格，只要出现不合格项，则判该批产品不合格。B类不合格项的检查水平为S-4，AQL值为0.65，</w:t>
      </w:r>
      <w:r>
        <w:rPr>
          <w:rFonts w:hint="eastAsia"/>
          <w:spacing w:val="-3"/>
          <w:w w:val="105"/>
          <w:szCs w:val="21"/>
        </w:rPr>
        <w:t>C</w:t>
      </w:r>
      <w:r>
        <w:rPr>
          <w:rFonts w:hint="eastAsia" w:hAnsi="Times New Roman"/>
          <w:kern w:val="0"/>
          <w:szCs w:val="20"/>
        </w:rPr>
        <w:t>类不合格项的检查水平为Ⅱ，AQL值为4.0。</w:t>
      </w:r>
    </w:p>
    <w:p>
      <w:pPr>
        <w:pStyle w:val="131"/>
        <w:widowControl w:val="0"/>
        <w:ind w:left="0"/>
        <w:rPr>
          <w:rFonts w:hAnsi="Times New Roman"/>
          <w:kern w:val="0"/>
          <w:szCs w:val="20"/>
        </w:rPr>
      </w:pPr>
      <w:r>
        <w:rPr>
          <w:rFonts w:hAnsi="Times New Roman"/>
          <w:kern w:val="0"/>
          <w:szCs w:val="20"/>
        </w:rPr>
        <w:t>出厂检验后，经检验合格的样品可作为合格品交付订货方。</w:t>
      </w:r>
    </w:p>
    <w:p>
      <w:pPr>
        <w:pStyle w:val="119"/>
        <w:spacing w:before="156" w:after="156"/>
        <w:ind w:left="0"/>
        <w:rPr>
          <w:rFonts w:hAnsi="黑体"/>
          <w:w w:val="105"/>
        </w:rPr>
      </w:pPr>
      <w:r>
        <w:rPr>
          <w:rFonts w:hAnsi="黑体"/>
          <w:w w:val="105"/>
        </w:rPr>
        <w:t>型式检验</w:t>
      </w:r>
    </w:p>
    <w:p>
      <w:pPr>
        <w:pStyle w:val="131"/>
        <w:widowControl w:val="0"/>
        <w:ind w:left="0"/>
        <w:rPr>
          <w:w w:val="105"/>
          <w:szCs w:val="21"/>
        </w:rPr>
      </w:pPr>
      <w:r>
        <w:rPr>
          <w:w w:val="105"/>
          <w:szCs w:val="21"/>
        </w:rPr>
        <w:t xml:space="preserve">有下列情况之一时，应进行型式检验： </w:t>
      </w:r>
    </w:p>
    <w:p>
      <w:pPr>
        <w:pStyle w:val="246"/>
        <w:numPr>
          <w:ilvl w:val="0"/>
          <w:numId w:val="27"/>
        </w:numPr>
        <w:tabs>
          <w:tab w:val="clear" w:pos="840"/>
        </w:tabs>
        <w:jc w:val="left"/>
        <w:rPr>
          <w:rFonts w:cstheme="minorBidi"/>
        </w:rPr>
      </w:pPr>
      <w:r>
        <w:rPr>
          <w:rFonts w:cstheme="minorBidi"/>
        </w:rPr>
        <w:t xml:space="preserve">新产品或老产品转厂生产的试制定型鉴定时； </w:t>
      </w:r>
    </w:p>
    <w:p>
      <w:pPr>
        <w:pStyle w:val="246"/>
        <w:numPr>
          <w:ilvl w:val="0"/>
          <w:numId w:val="27"/>
        </w:numPr>
        <w:tabs>
          <w:tab w:val="clear" w:pos="840"/>
        </w:tabs>
        <w:jc w:val="left"/>
        <w:rPr>
          <w:rFonts w:cstheme="minorBidi"/>
        </w:rPr>
      </w:pPr>
      <w:r>
        <w:rPr>
          <w:rFonts w:cstheme="minorBidi"/>
        </w:rPr>
        <w:t xml:space="preserve">正式生产后，如材料、工艺有较大改变，可能影响产品性能时； </w:t>
      </w:r>
    </w:p>
    <w:p>
      <w:pPr>
        <w:pStyle w:val="246"/>
        <w:numPr>
          <w:ilvl w:val="0"/>
          <w:numId w:val="27"/>
        </w:numPr>
        <w:tabs>
          <w:tab w:val="clear" w:pos="840"/>
        </w:tabs>
        <w:jc w:val="left"/>
        <w:rPr>
          <w:rFonts w:cstheme="minorBidi"/>
        </w:rPr>
      </w:pPr>
      <w:r>
        <w:rPr>
          <w:rFonts w:cstheme="minorBidi"/>
        </w:rPr>
        <w:t xml:space="preserve">正常生产时，每年至少一次； </w:t>
      </w:r>
    </w:p>
    <w:p>
      <w:pPr>
        <w:pStyle w:val="246"/>
        <w:numPr>
          <w:ilvl w:val="0"/>
          <w:numId w:val="27"/>
        </w:numPr>
        <w:tabs>
          <w:tab w:val="clear" w:pos="840"/>
        </w:tabs>
        <w:jc w:val="left"/>
        <w:rPr>
          <w:rFonts w:cstheme="minorBidi"/>
        </w:rPr>
      </w:pPr>
      <w:r>
        <w:rPr>
          <w:rFonts w:cstheme="minorBidi"/>
        </w:rPr>
        <w:t xml:space="preserve">停产半年以上，恢复生产时； </w:t>
      </w:r>
    </w:p>
    <w:p>
      <w:pPr>
        <w:pStyle w:val="246"/>
        <w:numPr>
          <w:ilvl w:val="0"/>
          <w:numId w:val="27"/>
        </w:numPr>
        <w:tabs>
          <w:tab w:val="clear" w:pos="840"/>
        </w:tabs>
        <w:jc w:val="left"/>
        <w:rPr>
          <w:rFonts w:cstheme="minorBidi"/>
        </w:rPr>
      </w:pPr>
      <w:r>
        <w:rPr>
          <w:rFonts w:cstheme="minorBidi"/>
        </w:rPr>
        <w:t>出厂检验结果与上次型式检验有较大差异时。</w:t>
      </w:r>
    </w:p>
    <w:p>
      <w:pPr>
        <w:pStyle w:val="131"/>
        <w:widowControl w:val="0"/>
        <w:ind w:left="0"/>
      </w:pPr>
      <w:r>
        <w:rPr>
          <w:rFonts w:hint="eastAsia"/>
        </w:rPr>
        <w:t>型式检验项目及其不合格分类按表5规定。</w:t>
      </w:r>
    </w:p>
    <w:p>
      <w:pPr>
        <w:pStyle w:val="208"/>
        <w:tabs>
          <w:tab w:val="left" w:pos="0"/>
        </w:tabs>
        <w:spacing w:before="156" w:after="156"/>
        <w:rPr>
          <w:w w:val="105"/>
        </w:rPr>
      </w:pPr>
      <w:r>
        <w:rPr>
          <w:w w:val="105"/>
        </w:rPr>
        <w:t>型式</w:t>
      </w:r>
      <w:r>
        <w:rPr>
          <w:rFonts w:hint="eastAsia"/>
          <w:w w:val="105"/>
        </w:rPr>
        <w:t>检</w:t>
      </w:r>
      <w:r>
        <w:rPr>
          <w:w w:val="105"/>
        </w:rPr>
        <w:t>验项目</w:t>
      </w:r>
      <w:r>
        <w:rPr>
          <w:rFonts w:hint="eastAsia"/>
          <w:w w:val="105"/>
        </w:rPr>
        <w:t>及其</w:t>
      </w:r>
      <w:r>
        <w:rPr>
          <w:w w:val="105"/>
        </w:rPr>
        <w:t>不合格分类</w:t>
      </w:r>
    </w:p>
    <w:tbl>
      <w:tblPr>
        <w:tblStyle w:val="18"/>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19"/>
        <w:gridCol w:w="2415"/>
        <w:gridCol w:w="1597"/>
        <w:gridCol w:w="1425"/>
        <w:gridCol w:w="758"/>
        <w:gridCol w:w="727"/>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序号</w:t>
            </w:r>
          </w:p>
        </w:tc>
        <w:tc>
          <w:tcPr>
            <w:tcW w:w="3434" w:type="dxa"/>
            <w:gridSpan w:val="2"/>
            <w:vMerge w:val="restart"/>
            <w:tcBorders>
              <w:top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检验项目</w:t>
            </w:r>
          </w:p>
        </w:tc>
        <w:tc>
          <w:tcPr>
            <w:tcW w:w="1597"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要求</w:t>
            </w:r>
          </w:p>
        </w:tc>
        <w:tc>
          <w:tcPr>
            <w:tcW w:w="1425"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试验方法</w:t>
            </w:r>
          </w:p>
        </w:tc>
        <w:tc>
          <w:tcPr>
            <w:tcW w:w="2235" w:type="dxa"/>
            <w:gridSpan w:val="3"/>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numPr>
                <w:ilvl w:val="0"/>
                <w:numId w:val="0"/>
              </w:numPr>
              <w:tabs>
                <w:tab w:val="left" w:pos="850"/>
              </w:tabs>
              <w:jc w:val="center"/>
              <w:rPr>
                <w:rFonts w:hAnsi="宋体" w:cs="宋体"/>
                <w:sz w:val="18"/>
                <w:szCs w:val="18"/>
              </w:rPr>
            </w:pPr>
          </w:p>
        </w:tc>
        <w:tc>
          <w:tcPr>
            <w:tcW w:w="3434" w:type="dxa"/>
            <w:gridSpan w:val="2"/>
            <w:vMerge w:val="continue"/>
            <w:tcBorders>
              <w:bottom w:val="single" w:color="auto" w:sz="12" w:space="0"/>
            </w:tcBorders>
            <w:vAlign w:val="center"/>
          </w:tcPr>
          <w:p>
            <w:pPr>
              <w:numPr>
                <w:ilvl w:val="0"/>
                <w:numId w:val="0"/>
              </w:numPr>
              <w:tabs>
                <w:tab w:val="left" w:pos="850"/>
              </w:tabs>
              <w:jc w:val="center"/>
              <w:rPr>
                <w:rFonts w:hAnsi="宋体" w:cs="宋体"/>
                <w:sz w:val="18"/>
                <w:szCs w:val="18"/>
              </w:rPr>
            </w:pPr>
          </w:p>
        </w:tc>
        <w:tc>
          <w:tcPr>
            <w:tcW w:w="1597" w:type="dxa"/>
            <w:vMerge w:val="continue"/>
            <w:tcBorders>
              <w:bottom w:val="single" w:color="auto" w:sz="12" w:space="0"/>
            </w:tcBorders>
            <w:vAlign w:val="center"/>
          </w:tcPr>
          <w:p>
            <w:pPr>
              <w:numPr>
                <w:ilvl w:val="0"/>
                <w:numId w:val="0"/>
              </w:numPr>
              <w:tabs>
                <w:tab w:val="left" w:pos="850"/>
              </w:tabs>
              <w:jc w:val="center"/>
              <w:rPr>
                <w:rFonts w:hAnsi="宋体" w:cs="宋体"/>
                <w:sz w:val="18"/>
                <w:szCs w:val="18"/>
              </w:rPr>
            </w:pPr>
          </w:p>
        </w:tc>
        <w:tc>
          <w:tcPr>
            <w:tcW w:w="1425" w:type="dxa"/>
            <w:vMerge w:val="continue"/>
            <w:tcBorders>
              <w:bottom w:val="single" w:color="auto" w:sz="12" w:space="0"/>
            </w:tcBorders>
            <w:vAlign w:val="center"/>
          </w:tcPr>
          <w:p>
            <w:pPr>
              <w:numPr>
                <w:ilvl w:val="0"/>
                <w:numId w:val="0"/>
              </w:numPr>
              <w:tabs>
                <w:tab w:val="left" w:pos="850"/>
              </w:tabs>
              <w:jc w:val="center"/>
              <w:rPr>
                <w:rFonts w:hAnsi="宋体" w:cs="宋体"/>
                <w:sz w:val="18"/>
                <w:szCs w:val="18"/>
              </w:rPr>
            </w:pPr>
          </w:p>
        </w:tc>
        <w:tc>
          <w:tcPr>
            <w:tcW w:w="758"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A</w:t>
            </w:r>
          </w:p>
        </w:tc>
        <w:tc>
          <w:tcPr>
            <w:tcW w:w="727"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B</w:t>
            </w:r>
          </w:p>
        </w:tc>
        <w:tc>
          <w:tcPr>
            <w:tcW w:w="75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 w:val="18"/>
                <w:szCs w:val="18"/>
              </w:rPr>
            </w:pPr>
            <w:r>
              <w:rPr>
                <w:rFonts w:hint="eastAsia" w:hAnsi="宋体" w:cs="宋体"/>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1</w:t>
            </w:r>
          </w:p>
        </w:tc>
        <w:tc>
          <w:tcPr>
            <w:tcW w:w="3434" w:type="dxa"/>
            <w:gridSpan w:val="2"/>
            <w:vAlign w:val="center"/>
          </w:tcPr>
          <w:p>
            <w:pPr>
              <w:pStyle w:val="259"/>
              <w:numPr>
                <w:ilvl w:val="0"/>
                <w:numId w:val="0"/>
              </w:numPr>
              <w:tabs>
                <w:tab w:val="left" w:pos="850"/>
              </w:tabs>
              <w:spacing w:before="3"/>
              <w:jc w:val="center"/>
              <w:rPr>
                <w:rFonts w:hAnsi="宋体" w:cs="宋体"/>
                <w:sz w:val="18"/>
                <w:szCs w:val="18"/>
              </w:rPr>
            </w:pPr>
            <w:r>
              <w:rPr>
                <w:rFonts w:hAnsi="宋体" w:cs="宋体"/>
                <w:sz w:val="18"/>
                <w:szCs w:val="18"/>
              </w:rPr>
              <w:t>结构和材料</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6.2</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87" w:type="dxa"/>
            <w:vMerge w:val="restart"/>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2</w:t>
            </w:r>
          </w:p>
        </w:tc>
        <w:tc>
          <w:tcPr>
            <w:tcW w:w="1019" w:type="dxa"/>
            <w:vMerge w:val="restart"/>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制冷性能</w:t>
            </w: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Ansi="宋体" w:cs="宋体"/>
                <w:sz w:val="18"/>
                <w:szCs w:val="18"/>
              </w:rPr>
              <w:t>耗电量</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5.3</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6.4</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耐电压波动性能</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5.6</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6.7</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启动性能</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5.7</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6.8</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性能要求</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5.8</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6.9</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3</w:t>
            </w:r>
          </w:p>
        </w:tc>
        <w:tc>
          <w:tcPr>
            <w:tcW w:w="3434" w:type="dxa"/>
            <w:gridSpan w:val="2"/>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蒸发器结霜</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5.4</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6.5</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4</w:t>
            </w:r>
          </w:p>
        </w:tc>
        <w:tc>
          <w:tcPr>
            <w:tcW w:w="3434" w:type="dxa"/>
            <w:gridSpan w:val="2"/>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噪声</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5.4</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6.6</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w:t>
            </w:r>
          </w:p>
        </w:tc>
        <w:tc>
          <w:tcPr>
            <w:tcW w:w="1019" w:type="dxa"/>
            <w:vMerge w:val="restart"/>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密封性能</w:t>
            </w: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制冷系统密封性能</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5.2</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6.3</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Ansi="宋体" w:cs="宋体"/>
                <w:sz w:val="18"/>
                <w:szCs w:val="18"/>
              </w:rPr>
              <w:t>门</w:t>
            </w:r>
            <w:r>
              <w:rPr>
                <w:rFonts w:hint="eastAsia" w:hAnsi="宋体" w:cs="宋体"/>
                <w:sz w:val="18"/>
                <w:szCs w:val="18"/>
              </w:rPr>
              <w:t>和</w:t>
            </w:r>
            <w:r>
              <w:rPr>
                <w:rFonts w:hAnsi="宋体" w:cs="宋体"/>
                <w:sz w:val="18"/>
                <w:szCs w:val="18"/>
              </w:rPr>
              <w:t>盖的密封</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5.9</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6.10</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w:t>
            </w:r>
          </w:p>
        </w:tc>
        <w:tc>
          <w:tcPr>
            <w:tcW w:w="1019" w:type="dxa"/>
            <w:vMerge w:val="restart"/>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安全卫生</w:t>
            </w: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制冷系统安全</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5.10.1</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6.11.1</w:t>
            </w:r>
          </w:p>
        </w:tc>
        <w:tc>
          <w:tcPr>
            <w:tcW w:w="758"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2"/>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2"/>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机械安全和电气安全</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5.10.2</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6.11.2</w:t>
            </w:r>
          </w:p>
        </w:tc>
        <w:tc>
          <w:tcPr>
            <w:tcW w:w="758"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电磁兼容</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5.10.3</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6.11.3</w:t>
            </w:r>
          </w:p>
        </w:tc>
        <w:tc>
          <w:tcPr>
            <w:tcW w:w="758"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与食品接触材料安全</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5.10.4</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6.11.4</w:t>
            </w:r>
          </w:p>
        </w:tc>
        <w:tc>
          <w:tcPr>
            <w:tcW w:w="758" w:type="dxa"/>
            <w:tcBorders>
              <w:right w:val="single" w:color="auto" w:sz="12" w:space="0"/>
            </w:tcBorders>
            <w:vAlign w:val="center"/>
          </w:tcPr>
          <w:p>
            <w:pPr>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抗菌</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5.10.5</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6.11.5</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7</w:t>
            </w:r>
          </w:p>
        </w:tc>
        <w:tc>
          <w:tcPr>
            <w:tcW w:w="1019" w:type="dxa"/>
            <w:vMerge w:val="restart"/>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环保性能</w:t>
            </w: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限用物质</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5.11.1</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6.12.1</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1019" w:type="dxa"/>
            <w:vMerge w:val="continue"/>
            <w:vAlign w:val="center"/>
          </w:tcPr>
          <w:p>
            <w:pPr>
              <w:pStyle w:val="259"/>
              <w:numPr>
                <w:ilvl w:val="0"/>
                <w:numId w:val="0"/>
              </w:numPr>
              <w:tabs>
                <w:tab w:val="left" w:pos="850"/>
              </w:tabs>
              <w:spacing w:before="3"/>
              <w:jc w:val="center"/>
              <w:rPr>
                <w:rFonts w:hAnsi="宋体" w:cs="宋体"/>
                <w:sz w:val="18"/>
                <w:szCs w:val="18"/>
              </w:rPr>
            </w:pPr>
          </w:p>
        </w:tc>
        <w:tc>
          <w:tcPr>
            <w:tcW w:w="241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制冷剂类型</w:t>
            </w:r>
          </w:p>
        </w:tc>
        <w:tc>
          <w:tcPr>
            <w:tcW w:w="1597"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5.11.2</w:t>
            </w:r>
          </w:p>
        </w:tc>
        <w:tc>
          <w:tcPr>
            <w:tcW w:w="1425" w:type="dxa"/>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6.12.2</w:t>
            </w:r>
          </w:p>
        </w:tc>
        <w:tc>
          <w:tcPr>
            <w:tcW w:w="758"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8</w:t>
            </w:r>
          </w:p>
        </w:tc>
        <w:tc>
          <w:tcPr>
            <w:tcW w:w="3434" w:type="dxa"/>
            <w:gridSpan w:val="2"/>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智能化功能</w:t>
            </w:r>
          </w:p>
        </w:tc>
        <w:tc>
          <w:tcPr>
            <w:tcW w:w="1597" w:type="dxa"/>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5.12</w:t>
            </w:r>
          </w:p>
        </w:tc>
        <w:tc>
          <w:tcPr>
            <w:tcW w:w="1425" w:type="dxa"/>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6.13</w:t>
            </w:r>
          </w:p>
        </w:tc>
        <w:tc>
          <w:tcPr>
            <w:tcW w:w="758"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c>
          <w:tcPr>
            <w:tcW w:w="727"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w:t>
            </w:r>
          </w:p>
        </w:tc>
        <w:tc>
          <w:tcPr>
            <w:tcW w:w="750"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 w:val="18"/>
                <w:szCs w:val="18"/>
              </w:rPr>
            </w:pPr>
          </w:p>
        </w:tc>
      </w:tr>
    </w:tbl>
    <w:p>
      <w:pPr>
        <w:pStyle w:val="131"/>
        <w:widowControl w:val="0"/>
        <w:ind w:left="0"/>
      </w:pPr>
      <w:r>
        <w:rPr>
          <w:rFonts w:hint="eastAsia"/>
        </w:rPr>
        <w:t>型式检验抽样按GB/T 2829规定进行，采用判别水平</w:t>
      </w:r>
      <w:r>
        <w:rPr>
          <w:rFonts w:hint="eastAsia" w:cs="宋体"/>
        </w:rPr>
        <w:t>Ⅰ</w:t>
      </w:r>
      <w:r>
        <w:rPr>
          <w:rFonts w:hint="eastAsia"/>
        </w:rPr>
        <w:t>的一次抽样方案，样本大小和不合格质</w:t>
      </w:r>
    </w:p>
    <w:p>
      <w:pPr>
        <w:pStyle w:val="131"/>
        <w:widowControl w:val="0"/>
        <w:numPr>
          <w:ilvl w:val="2"/>
          <w:numId w:val="0"/>
        </w:numPr>
      </w:pPr>
      <w:r>
        <w:rPr>
          <w:rFonts w:hint="eastAsia"/>
        </w:rPr>
        <w:t>量水平按表6的规定。</w:t>
      </w:r>
    </w:p>
    <w:p>
      <w:pPr>
        <w:pStyle w:val="208"/>
        <w:tabs>
          <w:tab w:val="left" w:pos="0"/>
        </w:tabs>
        <w:spacing w:before="156" w:after="156"/>
        <w:rPr>
          <w:w w:val="105"/>
        </w:rPr>
      </w:pPr>
      <w:r>
        <w:rPr>
          <w:rFonts w:hint="eastAsia"/>
          <w:w w:val="105"/>
        </w:rPr>
        <w:t>型式检验样本大小和</w:t>
      </w:r>
      <w:r>
        <w:rPr>
          <w:w w:val="105"/>
        </w:rPr>
        <w:t>不合格</w:t>
      </w:r>
      <w:r>
        <w:rPr>
          <w:rFonts w:hint="eastAsia"/>
          <w:w w:val="105"/>
        </w:rPr>
        <w:t>质量水平</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1380"/>
        <w:gridCol w:w="1492"/>
        <w:gridCol w:w="893"/>
        <w:gridCol w:w="893"/>
        <w:gridCol w:w="893"/>
        <w:gridCol w:w="893"/>
        <w:gridCol w:w="893"/>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判别水平</w:t>
            </w:r>
          </w:p>
        </w:tc>
        <w:tc>
          <w:tcPr>
            <w:tcW w:w="138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抽样方案</w:t>
            </w:r>
          </w:p>
        </w:tc>
        <w:tc>
          <w:tcPr>
            <w:tcW w:w="1492"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样本大小</w:t>
            </w:r>
          </w:p>
        </w:tc>
        <w:tc>
          <w:tcPr>
            <w:tcW w:w="5358" w:type="dxa"/>
            <w:gridSpan w:val="6"/>
            <w:tcBorders>
              <w:top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不合格质量水平（RQL)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1380" w:type="dxa"/>
            <w:vMerge w:val="continue"/>
            <w:vAlign w:val="center"/>
          </w:tcPr>
          <w:p>
            <w:pPr>
              <w:pStyle w:val="259"/>
              <w:numPr>
                <w:ilvl w:val="0"/>
                <w:numId w:val="0"/>
              </w:numPr>
              <w:tabs>
                <w:tab w:val="left" w:pos="850"/>
              </w:tabs>
              <w:spacing w:before="3"/>
              <w:jc w:val="center"/>
              <w:rPr>
                <w:rFonts w:hAnsi="宋体" w:cs="宋体"/>
                <w:szCs w:val="18"/>
              </w:rPr>
            </w:pPr>
          </w:p>
        </w:tc>
        <w:tc>
          <w:tcPr>
            <w:tcW w:w="1492" w:type="dxa"/>
            <w:vMerge w:val="continue"/>
            <w:vAlign w:val="center"/>
          </w:tcPr>
          <w:p>
            <w:pPr>
              <w:pStyle w:val="259"/>
              <w:numPr>
                <w:ilvl w:val="0"/>
                <w:numId w:val="0"/>
              </w:numPr>
              <w:tabs>
                <w:tab w:val="left" w:pos="850"/>
              </w:tabs>
              <w:spacing w:before="3"/>
              <w:jc w:val="center"/>
              <w:rPr>
                <w:rFonts w:hAnsi="宋体" w:cs="宋体"/>
                <w:szCs w:val="18"/>
              </w:rPr>
            </w:pPr>
          </w:p>
        </w:tc>
        <w:tc>
          <w:tcPr>
            <w:tcW w:w="1786" w:type="dxa"/>
            <w:gridSpan w:val="2"/>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A类（RQL=30）</w:t>
            </w:r>
          </w:p>
        </w:tc>
        <w:tc>
          <w:tcPr>
            <w:tcW w:w="1786" w:type="dxa"/>
            <w:gridSpan w:val="2"/>
            <w:tcBorders>
              <w:top w:val="single" w:color="auto" w:sz="4"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B类（RQL=65）</w:t>
            </w:r>
          </w:p>
        </w:tc>
        <w:tc>
          <w:tcPr>
            <w:tcW w:w="1786" w:type="dxa"/>
            <w:gridSpan w:val="2"/>
            <w:tcBorders>
              <w:top w:val="single" w:color="auto" w:sz="4" w:space="0"/>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C类（RQL=100）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1380" w:type="dxa"/>
            <w:vMerge w:val="continue"/>
            <w:vAlign w:val="center"/>
          </w:tcPr>
          <w:p>
            <w:pPr>
              <w:pStyle w:val="259"/>
              <w:numPr>
                <w:ilvl w:val="0"/>
                <w:numId w:val="0"/>
              </w:numPr>
              <w:tabs>
                <w:tab w:val="left" w:pos="850"/>
              </w:tabs>
              <w:spacing w:before="3"/>
              <w:jc w:val="center"/>
              <w:rPr>
                <w:rFonts w:hAnsi="宋体" w:cs="宋体"/>
                <w:szCs w:val="18"/>
              </w:rPr>
            </w:pPr>
          </w:p>
        </w:tc>
        <w:tc>
          <w:tcPr>
            <w:tcW w:w="1492" w:type="dxa"/>
            <w:vMerge w:val="continue"/>
            <w:vAlign w:val="center"/>
          </w:tcPr>
          <w:p>
            <w:pPr>
              <w:pStyle w:val="259"/>
              <w:numPr>
                <w:ilvl w:val="0"/>
                <w:numId w:val="0"/>
              </w:numPr>
              <w:tabs>
                <w:tab w:val="left" w:pos="850"/>
              </w:tabs>
              <w:spacing w:before="3"/>
              <w:jc w:val="center"/>
              <w:rPr>
                <w:rFonts w:hAnsi="宋体" w:cs="宋体"/>
                <w:szCs w:val="18"/>
              </w:rPr>
            </w:pP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A</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R</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A</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R</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A</w:t>
            </w:r>
            <w:r>
              <w:rPr>
                <w:rFonts w:hAnsi="宋体" w:cs="宋体"/>
                <w:sz w:val="18"/>
                <w:szCs w:val="18"/>
                <w:vertAlign w:val="subscript"/>
              </w:rPr>
              <w:t>c</w:t>
            </w:r>
          </w:p>
        </w:tc>
        <w:tc>
          <w:tcPr>
            <w:tcW w:w="893"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R</w:t>
            </w:r>
            <w:r>
              <w:rPr>
                <w:rFonts w:hAnsi="宋体" w:cs="宋体"/>
                <w:sz w:val="18"/>
                <w:szCs w:val="18"/>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tcBorders>
              <w:left w:val="single" w:color="auto" w:sz="12" w:space="0"/>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Ⅰ</w:t>
            </w:r>
          </w:p>
        </w:tc>
        <w:tc>
          <w:tcPr>
            <w:tcW w:w="1380"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一次</w:t>
            </w:r>
          </w:p>
        </w:tc>
        <w:tc>
          <w:tcPr>
            <w:tcW w:w="1492"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n</w:t>
            </w:r>
            <w:r>
              <w:rPr>
                <w:rFonts w:hAnsi="宋体" w:cs="宋体"/>
                <w:sz w:val="18"/>
                <w:szCs w:val="18"/>
              </w:rPr>
              <w:t>=3</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0</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1</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1</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2</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2</w:t>
            </w:r>
          </w:p>
        </w:tc>
        <w:tc>
          <w:tcPr>
            <w:tcW w:w="893"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3</w:t>
            </w:r>
          </w:p>
        </w:tc>
      </w:tr>
    </w:tbl>
    <w:p>
      <w:pPr>
        <w:pStyle w:val="131"/>
        <w:widowControl w:val="0"/>
        <w:ind w:left="0"/>
      </w:pPr>
      <w:r>
        <w:rPr>
          <w:rFonts w:hint="eastAsia"/>
        </w:rPr>
        <w:t>型式检验的样本应从出厂检验合格的成品中随机抽取。</w:t>
      </w:r>
    </w:p>
    <w:p>
      <w:pPr>
        <w:pStyle w:val="117"/>
        <w:spacing w:before="312" w:after="312"/>
        <w:rPr>
          <w:rFonts w:hAnsi="黑体" w:cs="Times New Roman"/>
        </w:rPr>
      </w:pPr>
      <w:r>
        <w:rPr>
          <w:rFonts w:hAnsi="黑体" w:cs="Times New Roman"/>
        </w:rPr>
        <w:t>标志、</w:t>
      </w:r>
      <w:r>
        <w:rPr>
          <w:rFonts w:hint="eastAsia" w:hAnsi="黑体" w:cs="Times New Roman"/>
          <w:lang w:eastAsia="zh-CN"/>
        </w:rPr>
        <w:t>制造商所提供的信息</w:t>
      </w:r>
      <w:r>
        <w:rPr>
          <w:rFonts w:hint="eastAsia" w:hAnsi="黑体" w:cs="Times New Roman"/>
        </w:rPr>
        <w:t>、</w:t>
      </w:r>
      <w:r>
        <w:rPr>
          <w:rFonts w:hAnsi="黑体" w:cs="Times New Roman"/>
        </w:rPr>
        <w:t>包装、运输和贮存</w:t>
      </w:r>
    </w:p>
    <w:p>
      <w:pPr>
        <w:pStyle w:val="119"/>
        <w:spacing w:before="156" w:after="156"/>
        <w:ind w:left="0"/>
        <w:rPr>
          <w:rFonts w:hAnsi="黑体"/>
          <w:w w:val="105"/>
        </w:rPr>
      </w:pPr>
      <w:r>
        <w:rPr>
          <w:rFonts w:hAnsi="黑体"/>
          <w:w w:val="105"/>
        </w:rPr>
        <w:t>标志</w:t>
      </w:r>
    </w:p>
    <w:p>
      <w:pPr>
        <w:ind w:firstLine="420" w:firstLineChars="200"/>
      </w:pPr>
      <w:r>
        <w:rPr>
          <w:rFonts w:hint="eastAsia"/>
        </w:rPr>
        <w:t>按</w:t>
      </w:r>
      <w:r>
        <w:rPr>
          <w:rFonts w:hint="eastAsia" w:cs="Times New Roman"/>
          <w:szCs w:val="21"/>
        </w:rPr>
        <w:t>SB</w:t>
      </w:r>
      <w:r>
        <w:rPr>
          <w:rFonts w:cs="Times New Roman"/>
          <w:szCs w:val="21"/>
        </w:rPr>
        <w:t>/</w:t>
      </w:r>
      <w:r>
        <w:rPr>
          <w:rFonts w:hint="eastAsia" w:cs="Times New Roman"/>
          <w:szCs w:val="21"/>
        </w:rPr>
        <w:t>T 11048—2013</w:t>
      </w:r>
      <w:r>
        <w:rPr>
          <w:rFonts w:hint="eastAsia"/>
        </w:rPr>
        <w:t>中8.1的规定进行。</w:t>
      </w:r>
    </w:p>
    <w:p>
      <w:pPr>
        <w:pStyle w:val="119"/>
        <w:spacing w:before="156" w:after="156"/>
        <w:ind w:left="0"/>
        <w:rPr>
          <w:rFonts w:hAnsi="黑体"/>
          <w:w w:val="105"/>
        </w:rPr>
      </w:pPr>
      <w:r>
        <w:rPr>
          <w:rFonts w:hint="eastAsia" w:hAnsi="黑体"/>
          <w:w w:val="105"/>
          <w:lang w:eastAsia="zh-CN"/>
        </w:rPr>
        <w:t>制造商所提供的信息</w:t>
      </w:r>
    </w:p>
    <w:p>
      <w:pPr>
        <w:pStyle w:val="23"/>
        <w:ind w:firstLine="420"/>
      </w:pPr>
      <w:r>
        <w:rPr>
          <w:rFonts w:hint="eastAsia"/>
        </w:rPr>
        <w:t>按</w:t>
      </w:r>
      <w:r>
        <w:rPr>
          <w:rFonts w:hint="eastAsia" w:cs="Times New Roman"/>
          <w:szCs w:val="21"/>
        </w:rPr>
        <w:t>SB</w:t>
      </w:r>
      <w:r>
        <w:rPr>
          <w:rFonts w:cs="Times New Roman"/>
          <w:szCs w:val="21"/>
        </w:rPr>
        <w:t>/</w:t>
      </w:r>
      <w:r>
        <w:rPr>
          <w:rFonts w:hint="eastAsia" w:cs="Times New Roman"/>
          <w:szCs w:val="21"/>
        </w:rPr>
        <w:t>T 11048—2013</w:t>
      </w:r>
      <w:r>
        <w:rPr>
          <w:rFonts w:hint="eastAsia"/>
        </w:rPr>
        <w:t>中8.2的规定进行。</w:t>
      </w:r>
    </w:p>
    <w:p>
      <w:pPr>
        <w:pStyle w:val="119"/>
        <w:spacing w:before="156" w:after="156"/>
        <w:ind w:left="0"/>
        <w:rPr>
          <w:rFonts w:hAnsi="黑体"/>
          <w:w w:val="105"/>
        </w:rPr>
      </w:pPr>
      <w:r>
        <w:rPr>
          <w:rFonts w:hAnsi="黑体"/>
          <w:w w:val="105"/>
        </w:rPr>
        <w:t>包装</w:t>
      </w:r>
    </w:p>
    <w:p>
      <w:pPr>
        <w:ind w:firstLine="420" w:firstLineChars="200"/>
      </w:pPr>
      <w:r>
        <w:rPr>
          <w:rFonts w:hint="eastAsia"/>
        </w:rPr>
        <w:t>按</w:t>
      </w:r>
      <w:r>
        <w:rPr>
          <w:rFonts w:hint="eastAsia" w:cs="Times New Roman"/>
          <w:szCs w:val="21"/>
        </w:rPr>
        <w:t>SB</w:t>
      </w:r>
      <w:r>
        <w:rPr>
          <w:rFonts w:cs="Times New Roman"/>
          <w:szCs w:val="21"/>
        </w:rPr>
        <w:t>/</w:t>
      </w:r>
      <w:r>
        <w:rPr>
          <w:rFonts w:hint="eastAsia" w:cs="Times New Roman"/>
          <w:szCs w:val="21"/>
        </w:rPr>
        <w:t>T 11048—2013</w:t>
      </w:r>
      <w:r>
        <w:rPr>
          <w:rFonts w:hint="eastAsia"/>
        </w:rPr>
        <w:t>中8.3的规定进行。</w:t>
      </w:r>
    </w:p>
    <w:p>
      <w:pPr>
        <w:pStyle w:val="119"/>
        <w:spacing w:before="156" w:after="156"/>
        <w:ind w:left="0"/>
        <w:rPr>
          <w:rFonts w:hAnsi="黑体"/>
          <w:w w:val="105"/>
        </w:rPr>
      </w:pPr>
      <w:r>
        <w:rPr>
          <w:rFonts w:hAnsi="黑体"/>
          <w:w w:val="105"/>
        </w:rPr>
        <w:t>运输和贮存</w:t>
      </w:r>
    </w:p>
    <w:p>
      <w:pPr>
        <w:ind w:firstLine="420" w:firstLineChars="200"/>
      </w:pPr>
      <w:r>
        <w:rPr>
          <w:rFonts w:hint="eastAsia"/>
        </w:rPr>
        <w:t>按</w:t>
      </w:r>
      <w:r>
        <w:rPr>
          <w:rFonts w:hint="eastAsia" w:cs="Times New Roman"/>
          <w:szCs w:val="21"/>
        </w:rPr>
        <w:t>SB</w:t>
      </w:r>
      <w:r>
        <w:rPr>
          <w:rFonts w:cs="Times New Roman"/>
          <w:szCs w:val="21"/>
        </w:rPr>
        <w:t>/</w:t>
      </w:r>
      <w:r>
        <w:rPr>
          <w:rFonts w:hint="eastAsia" w:cs="Times New Roman"/>
          <w:szCs w:val="21"/>
        </w:rPr>
        <w:t>T 11048—2013</w:t>
      </w:r>
      <w:r>
        <w:rPr>
          <w:rFonts w:hint="eastAsia"/>
        </w:rPr>
        <w:t>中8.4的规定进行。</w:t>
      </w:r>
    </w:p>
    <w:p>
      <w:pPr>
        <w:pStyle w:val="117"/>
        <w:spacing w:before="312" w:after="312"/>
      </w:pPr>
      <w:r>
        <w:rPr>
          <w:rFonts w:hint="eastAsia"/>
        </w:rPr>
        <w:t>质量承诺</w:t>
      </w:r>
    </w:p>
    <w:p>
      <w:pPr>
        <w:pStyle w:val="119"/>
        <w:numPr>
          <w:ilvl w:val="1"/>
          <w:numId w:val="2"/>
        </w:numPr>
        <w:spacing w:beforeLines="0" w:afterLines="0"/>
        <w:rPr>
          <w:rFonts w:ascii="宋体" w:hAnsi="宋体" w:eastAsia="宋体" w:cs="宋体"/>
        </w:rPr>
      </w:pPr>
      <w:r>
        <w:rPr>
          <w:rFonts w:hint="eastAsia" w:ascii="宋体" w:hAnsi="宋体" w:eastAsia="宋体" w:cs="宋体"/>
        </w:rPr>
        <w:t>用户在遵守快速冷却柜和快速冻结柜使用说明书规定的操作条件下，自购买快速冷却柜和快速冻结柜之日起，快速冷却柜和快速冻结柜质保期24个月。质保期间若因质量问题造成快速冷却柜和快速冻结柜故障的，制造商应负责免费维修。</w:t>
      </w:r>
    </w:p>
    <w:p>
      <w:pPr>
        <w:pStyle w:val="119"/>
        <w:numPr>
          <w:ilvl w:val="1"/>
          <w:numId w:val="2"/>
        </w:numPr>
        <w:spacing w:beforeLines="0" w:afterLines="0"/>
        <w:jc w:val="left"/>
        <w:rPr>
          <w:rFonts w:ascii="宋体" w:hAnsi="宋体" w:eastAsia="宋体" w:cs="宋体"/>
        </w:rPr>
      </w:pPr>
      <w:r>
        <w:rPr>
          <w:rFonts w:hint="eastAsia" w:ascii="宋体" w:hAnsi="宋体" w:eastAsia="宋体" w:cs="宋体"/>
        </w:rPr>
        <w:t>如因操作不当或外部不可抗拒的因素所造成的非质量问题导致快速冷却柜和快速冻结柜故障，或超过质保期的，制造商应提供售后服务。</w:t>
      </w:r>
    </w:p>
    <w:p>
      <w:pPr>
        <w:pStyle w:val="119"/>
        <w:numPr>
          <w:ilvl w:val="1"/>
          <w:numId w:val="2"/>
        </w:numPr>
        <w:spacing w:beforeLines="0" w:afterLines="0"/>
        <w:jc w:val="left"/>
        <w:rPr>
          <w:rFonts w:ascii="宋体" w:hAnsi="宋体" w:eastAsia="宋体" w:cs="宋体"/>
        </w:rPr>
      </w:pPr>
      <w:r>
        <w:rPr>
          <w:rFonts w:hint="eastAsia" w:ascii="宋体" w:hAnsi="宋体" w:eastAsia="宋体" w:cs="宋体"/>
        </w:rPr>
        <w:t>应在24 h内对客户诉求做出响应。</w:t>
      </w:r>
    </w:p>
    <w:p>
      <w:pPr>
        <w:ind w:firstLine="420" w:firstLineChars="200"/>
      </w:pPr>
    </w:p>
    <w:p>
      <w:pPr>
        <w:ind w:firstLine="420" w:firstLineChars="200"/>
      </w:pPr>
    </w:p>
    <w:p>
      <w:pPr>
        <w:ind w:firstLine="420" w:firstLineChars="200"/>
      </w:pPr>
      <w:r>
        <w:rPr>
          <w:rFonts w:hint="eastAsia"/>
        </w:rPr>
        <w:t xml:space="preserve">                             </w:t>
      </w:r>
      <w:bookmarkStart w:id="13" w:name="BookMark8"/>
      <w: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
    </w:p>
    <w:p>
      <w:pPr>
        <w:ind w:firstLine="420" w:firstLineChars="200"/>
      </w:pPr>
    </w:p>
    <w:p>
      <w:pPr>
        <w:ind w:firstLine="420" w:firstLineChars="200"/>
      </w:pPr>
    </w:p>
    <w:sectPr>
      <w:footerReference r:id="rId6"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insoku w:val="0"/>
      <w:overflowPunct w:val="0"/>
      <w:spacing w:line="14" w:lineRule="auto"/>
      <w:rPr>
        <w:rFonts w:ascii="Times New Roman" w:eastAsiaTheme="minorEastAsia"/>
        <w:sz w:val="20"/>
        <w:szCs w:val="20"/>
      </w:rPr>
    </w:pPr>
    <w:r>
      <mc:AlternateContent>
        <mc:Choice Requires="wps">
          <w:drawing>
            <wp:anchor distT="0" distB="0" distL="114300" distR="114300" simplePos="0" relativeHeight="251659264" behindDoc="1" locked="0" layoutInCell="0" allowOverlap="1">
              <wp:simplePos x="0" y="0"/>
              <wp:positionH relativeFrom="page">
                <wp:posOffset>6703060</wp:posOffset>
              </wp:positionH>
              <wp:positionV relativeFrom="page">
                <wp:posOffset>10010775</wp:posOffset>
              </wp:positionV>
              <wp:extent cx="167005" cy="15240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10</w:t>
                          </w:r>
                          <w:r>
                            <w:rPr>
                              <w:rFonts w:ascii="Times New Roman" w:eastAsiaTheme="minorEastAsia"/>
                              <w:sz w:val="18"/>
                              <w:szCs w:val="18"/>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527.8pt;margin-top:788.25pt;height:12pt;width:13.15pt;mso-position-horizontal-relative:page;mso-position-vertical-relative:page;z-index:-251657216;mso-width-relative:page;mso-height-relative:page;" filled="f" stroked="f" coordsize="21600,21600" o:allowincell="f" o:gfxdata="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CoO6dsAAAAPAQAADwAAAAAAAAABACAAAAAiAAAAZHJzL2Rvd25y&#10;ZXYueG1sUEsBAhQAFAAAAAgAh07iQLRQMsX7AQAAAwQAAA4AAAAAAAAAAQAgAAAAKgEAAGRycy9l&#10;Mm9Eb2MueG1sUEsFBgAAAAAGAAYAWQEAAJcFAAAAAA==&#10;">
              <v:fill on="f" focussize="0,0"/>
              <v:stroke on="f"/>
              <v:imagedata o:title=""/>
              <o:lock v:ext="edit" aspectratio="f"/>
              <v:textbox inset="0mm,0mm,0mm,0mm">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10</w:t>
                    </w:r>
                    <w:r>
                      <w:rPr>
                        <w:rFonts w:ascii="Times New Roman" w:eastAsiaTheme="minorEastAsia"/>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w:t>
    </w:r>
    <w:r>
      <w:rPr>
        <w:rFonts w:hint="eastAsia"/>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02A648A3"/>
    <w:multiLevelType w:val="multilevel"/>
    <w:tmpl w:val="02A648A3"/>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3">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5">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8">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9">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0">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1">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2">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3">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4">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5">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6">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63FEF917"/>
    <w:multiLevelType w:val="multilevel"/>
    <w:tmpl w:val="63FEF91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1">
    <w:nsid w:val="6DBF04F4"/>
    <w:multiLevelType w:val="multilevel"/>
    <w:tmpl w:val="6DBF04F4"/>
    <w:lvl w:ilvl="0" w:tentative="0">
      <w:start w:val="1"/>
      <w:numFmt w:val="none"/>
      <w:pStyle w:val="26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2">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8931"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1418"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3">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4">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1"/>
  </w:num>
  <w:num w:numId="2">
    <w:abstractNumId w:val="22"/>
    <w:lvlOverride w:ilvl="0">
      <w:lvl w:ilvl="0" w:tentative="1">
        <w:start w:val="1"/>
        <w:numFmt w:val="decimal"/>
        <w:suff w:val="nothing"/>
        <w:lvlText w:val="%1　"/>
        <w:lvlJc w:val="left"/>
        <w:pPr>
          <w:ind w:left="665"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0"/>
  </w:num>
  <w:num w:numId="4">
    <w:abstractNumId w:val="23"/>
  </w:num>
  <w:num w:numId="5">
    <w:abstractNumId w:val="12"/>
  </w:num>
  <w:num w:numId="6">
    <w:abstractNumId w:val="4"/>
  </w:num>
  <w:num w:numId="7">
    <w:abstractNumId w:val="9"/>
  </w:num>
  <w:num w:numId="8">
    <w:abstractNumId w:val="8"/>
  </w:num>
  <w:num w:numId="9">
    <w:abstractNumId w:val="10"/>
  </w:num>
  <w:num w:numId="10">
    <w:abstractNumId w:val="24"/>
  </w:num>
  <w:num w:numId="11">
    <w:abstractNumId w:val="14"/>
  </w:num>
  <w:num w:numId="12">
    <w:abstractNumId w:val="2"/>
  </w:num>
  <w:num w:numId="13">
    <w:abstractNumId w:val="22"/>
  </w:num>
  <w:num w:numId="14">
    <w:abstractNumId w:val="6"/>
  </w:num>
  <w:num w:numId="15">
    <w:abstractNumId w:val="7"/>
  </w:num>
  <w:num w:numId="16">
    <w:abstractNumId w:val="15"/>
  </w:num>
  <w:num w:numId="17">
    <w:abstractNumId w:val="0"/>
  </w:num>
  <w:num w:numId="18">
    <w:abstractNumId w:val="5"/>
  </w:num>
  <w:num w:numId="19">
    <w:abstractNumId w:val="13"/>
  </w:num>
  <w:num w:numId="20">
    <w:abstractNumId w:val="3"/>
  </w:num>
  <w:num w:numId="21">
    <w:abstractNumId w:val="19"/>
  </w:num>
  <w:num w:numId="22">
    <w:abstractNumId w:val="16"/>
  </w:num>
  <w:num w:numId="23">
    <w:abstractNumId w:val="21"/>
  </w:num>
  <w:num w:numId="24">
    <w:abstractNumId w:val="1"/>
  </w:num>
  <w:num w:numId="25">
    <w:abstractNumId w:val="22"/>
    <w:lvlOverride w:ilvl="0">
      <w:lvl w:ilvl="0" w:tentative="1">
        <w:start w:val="1"/>
        <w:numFmt w:val="decimal"/>
        <w:suff w:val="nothing"/>
        <w:lvlText w:val="%1　"/>
        <w:lvlJc w:val="left"/>
        <w:pPr>
          <w:ind w:left="665"/>
        </w:pPr>
        <w:rPr>
          <w:rFonts w:hint="eastAsia" w:ascii="黑体" w:hAnsi="黑体" w:eastAsia="黑体" w:cs="Times New Roman"/>
          <w:sz w:val="20"/>
        </w:rPr>
      </w:lvl>
    </w:lvlOverride>
    <w:lvlOverride w:ilvl="1">
      <w:lvl w:ilvl="1" w:tentative="1">
        <w:start w:val="1"/>
        <w:numFmt w:val="decimal"/>
        <w:suff w:val="nothing"/>
        <w:lvlText w:val="%1.%2　"/>
        <w:lvlJc w:val="left"/>
        <w:rPr>
          <w:rFonts w:hint="eastAsia" w:ascii="黑体" w:hAnsi="黑体" w:eastAsia="黑体" w:cs="Times New Roman"/>
          <w:sz w:val="20"/>
        </w:rPr>
      </w:lvl>
    </w:lvlOverride>
    <w:lvlOverride w:ilvl="2">
      <w:lvl w:ilvl="2" w:tentative="1">
        <w:start w:val="1"/>
        <w:numFmt w:val="decimal"/>
        <w:suff w:val="nothing"/>
        <w:lvlText w:val="%1.%2.%3　"/>
        <w:lvlJc w:val="left"/>
        <w:rPr>
          <w:rFonts w:hint="eastAsia" w:ascii="黑体" w:hAnsi="黑体" w:eastAsia="黑体" w:cs="Times New Roman"/>
          <w:sz w:val="20"/>
        </w:rPr>
      </w:lvl>
    </w:lvlOverride>
    <w:lvlOverride w:ilvl="3">
      <w:lvl w:ilvl="3" w:tentative="1">
        <w:start w:val="1"/>
        <w:numFmt w:val="decimal"/>
        <w:suff w:val="nothing"/>
        <w:lvlText w:val="%1.%2.%3.%4　"/>
        <w:lvlJc w:val="left"/>
        <w:rPr>
          <w:rFonts w:hint="eastAsia" w:ascii="黑体" w:hAnsi="黑体" w:eastAsia="黑体" w:cs="Times New Roman"/>
          <w:sz w:val="20"/>
        </w:rPr>
      </w:lvl>
    </w:lvlOverride>
    <w:lvlOverride w:ilvl="4">
      <w:lvl w:ilvl="4" w:tentative="1">
        <w:start w:val="1"/>
        <w:numFmt w:val="decimal"/>
        <w:suff w:val="nothing"/>
        <w:lvlText w:val="%1.%2.%3.%4.%5　"/>
        <w:lvlJc w:val="left"/>
        <w:rPr>
          <w:rFonts w:hint="eastAsia" w:ascii="黑体" w:hAnsi="黑体" w:eastAsia="黑体" w:cs="Times New Roman"/>
          <w:sz w:val="20"/>
        </w:rPr>
      </w:lvl>
    </w:lvlOverride>
    <w:lvlOverride w:ilvl="5">
      <w:lvl w:ilvl="5" w:tentative="1">
        <w:start w:val="1"/>
        <w:numFmt w:val="decimal"/>
        <w:suff w:val="nothing"/>
        <w:lvlText w:val="%1.%2.%3.%4.%5.%6　"/>
        <w:lvlJc w:val="left"/>
        <w:rPr>
          <w:rFonts w:hint="eastAsia" w:ascii="黑体" w:hAnsi="黑体" w:eastAsia="黑体" w:cs="Times New Roman"/>
          <w:sz w:val="20"/>
        </w:rPr>
      </w:lvl>
    </w:lvlOverride>
    <w:lvlOverride w:ilvl="6">
      <w:lvl w:ilvl="6" w:tentative="1">
        <w:start w:val="1"/>
        <w:numFmt w:val="decimal"/>
        <w:lvlText w:val="%1.%2.%3.%4.%5.%6.%7."/>
        <w:lvlJc w:val="left"/>
        <w:pPr>
          <w:ind w:left="1276" w:hanging="1276"/>
        </w:pPr>
        <w:rPr>
          <w:rFonts w:hint="eastAsia" w:cs="Times New Roman"/>
        </w:rPr>
      </w:lvl>
    </w:lvlOverride>
    <w:lvlOverride w:ilvl="7">
      <w:lvl w:ilvl="7" w:tentative="1">
        <w:start w:val="1"/>
        <w:numFmt w:val="decimal"/>
        <w:lvlText w:val="%1.%2.%3.%4.%5.%6.%7.%8."/>
        <w:lvlJc w:val="left"/>
        <w:pPr>
          <w:ind w:left="1418" w:hanging="1418"/>
        </w:pPr>
        <w:rPr>
          <w:rFonts w:hint="eastAsia" w:cs="Times New Roman"/>
        </w:rPr>
      </w:lvl>
    </w:lvlOverride>
    <w:lvlOverride w:ilvl="8">
      <w:lvl w:ilvl="8" w:tentative="1">
        <w:start w:val="1"/>
        <w:numFmt w:val="decimal"/>
        <w:lvlText w:val="%1.%2.%3.%4.%5.%6.%7.%8.%9."/>
        <w:lvlJc w:val="left"/>
        <w:pPr>
          <w:ind w:left="1559" w:hanging="1559"/>
        </w:pPr>
        <w:rPr>
          <w:rFonts w:hint="eastAsia" w:cs="Times New Roman"/>
        </w:rPr>
      </w:lvl>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1002"/>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6ED9"/>
    <w:rsid w:val="0003785D"/>
    <w:rsid w:val="000400DA"/>
    <w:rsid w:val="00040CD5"/>
    <w:rsid w:val="000425CD"/>
    <w:rsid w:val="000433E7"/>
    <w:rsid w:val="000465A6"/>
    <w:rsid w:val="00046648"/>
    <w:rsid w:val="00046A6B"/>
    <w:rsid w:val="00046F1D"/>
    <w:rsid w:val="0005096A"/>
    <w:rsid w:val="0005210A"/>
    <w:rsid w:val="000539C5"/>
    <w:rsid w:val="00053E8A"/>
    <w:rsid w:val="00053F7A"/>
    <w:rsid w:val="000549F9"/>
    <w:rsid w:val="00056FD4"/>
    <w:rsid w:val="00061B49"/>
    <w:rsid w:val="00075D22"/>
    <w:rsid w:val="00076559"/>
    <w:rsid w:val="00077CC5"/>
    <w:rsid w:val="000807B7"/>
    <w:rsid w:val="000812AE"/>
    <w:rsid w:val="000829AD"/>
    <w:rsid w:val="0008558F"/>
    <w:rsid w:val="00090A78"/>
    <w:rsid w:val="00091038"/>
    <w:rsid w:val="00094015"/>
    <w:rsid w:val="00095B73"/>
    <w:rsid w:val="00095F67"/>
    <w:rsid w:val="00097E59"/>
    <w:rsid w:val="000A6C62"/>
    <w:rsid w:val="000C1416"/>
    <w:rsid w:val="000C1EDA"/>
    <w:rsid w:val="000C455E"/>
    <w:rsid w:val="000C6FDF"/>
    <w:rsid w:val="000D0C70"/>
    <w:rsid w:val="000D1ABD"/>
    <w:rsid w:val="000E03F4"/>
    <w:rsid w:val="000E3C6E"/>
    <w:rsid w:val="000E7972"/>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17D2"/>
    <w:rsid w:val="001427E8"/>
    <w:rsid w:val="00144458"/>
    <w:rsid w:val="00146C69"/>
    <w:rsid w:val="001617A3"/>
    <w:rsid w:val="001633C6"/>
    <w:rsid w:val="001726D5"/>
    <w:rsid w:val="001730E9"/>
    <w:rsid w:val="0018343A"/>
    <w:rsid w:val="0018417C"/>
    <w:rsid w:val="0018656D"/>
    <w:rsid w:val="00186874"/>
    <w:rsid w:val="00187BEE"/>
    <w:rsid w:val="00187C0E"/>
    <w:rsid w:val="00190D62"/>
    <w:rsid w:val="001966B7"/>
    <w:rsid w:val="001A0E88"/>
    <w:rsid w:val="001A3E95"/>
    <w:rsid w:val="001A5604"/>
    <w:rsid w:val="001A6316"/>
    <w:rsid w:val="001B1818"/>
    <w:rsid w:val="001B435D"/>
    <w:rsid w:val="001B4F42"/>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486E"/>
    <w:rsid w:val="00215FD6"/>
    <w:rsid w:val="00217755"/>
    <w:rsid w:val="002179E5"/>
    <w:rsid w:val="002212CF"/>
    <w:rsid w:val="0022356A"/>
    <w:rsid w:val="00224E7F"/>
    <w:rsid w:val="002278D9"/>
    <w:rsid w:val="0023072E"/>
    <w:rsid w:val="00231B31"/>
    <w:rsid w:val="002325EC"/>
    <w:rsid w:val="00233A3F"/>
    <w:rsid w:val="002355A1"/>
    <w:rsid w:val="00236098"/>
    <w:rsid w:val="00236861"/>
    <w:rsid w:val="00246EBE"/>
    <w:rsid w:val="00250366"/>
    <w:rsid w:val="002512FC"/>
    <w:rsid w:val="00252072"/>
    <w:rsid w:val="00257A34"/>
    <w:rsid w:val="00261F1A"/>
    <w:rsid w:val="00263665"/>
    <w:rsid w:val="002643DC"/>
    <w:rsid w:val="00264DA4"/>
    <w:rsid w:val="00266CEA"/>
    <w:rsid w:val="00270B69"/>
    <w:rsid w:val="00275668"/>
    <w:rsid w:val="002758CC"/>
    <w:rsid w:val="00282991"/>
    <w:rsid w:val="00287673"/>
    <w:rsid w:val="00287FBC"/>
    <w:rsid w:val="002910A8"/>
    <w:rsid w:val="002912C8"/>
    <w:rsid w:val="00293B29"/>
    <w:rsid w:val="00294C67"/>
    <w:rsid w:val="00296E84"/>
    <w:rsid w:val="002A7716"/>
    <w:rsid w:val="002B07EC"/>
    <w:rsid w:val="002B1FB4"/>
    <w:rsid w:val="002B3576"/>
    <w:rsid w:val="002B3FC5"/>
    <w:rsid w:val="002C1968"/>
    <w:rsid w:val="002D1BFD"/>
    <w:rsid w:val="002D3BB1"/>
    <w:rsid w:val="002D49DA"/>
    <w:rsid w:val="002F2D9C"/>
    <w:rsid w:val="002F3E5E"/>
    <w:rsid w:val="002F6D1E"/>
    <w:rsid w:val="00303432"/>
    <w:rsid w:val="003052AE"/>
    <w:rsid w:val="00305AE8"/>
    <w:rsid w:val="00312DA2"/>
    <w:rsid w:val="00315A97"/>
    <w:rsid w:val="00315E18"/>
    <w:rsid w:val="00317DB4"/>
    <w:rsid w:val="003205D6"/>
    <w:rsid w:val="003225E0"/>
    <w:rsid w:val="00322D88"/>
    <w:rsid w:val="003252D5"/>
    <w:rsid w:val="003264F7"/>
    <w:rsid w:val="00327278"/>
    <w:rsid w:val="00335357"/>
    <w:rsid w:val="003353A6"/>
    <w:rsid w:val="003356E8"/>
    <w:rsid w:val="00336CA0"/>
    <w:rsid w:val="00337897"/>
    <w:rsid w:val="00337AD4"/>
    <w:rsid w:val="00341CE9"/>
    <w:rsid w:val="00344321"/>
    <w:rsid w:val="0035147F"/>
    <w:rsid w:val="00351F69"/>
    <w:rsid w:val="0035714C"/>
    <w:rsid w:val="0035793F"/>
    <w:rsid w:val="00357AEC"/>
    <w:rsid w:val="003605F7"/>
    <w:rsid w:val="003611B7"/>
    <w:rsid w:val="0036259C"/>
    <w:rsid w:val="00364DAA"/>
    <w:rsid w:val="0036576D"/>
    <w:rsid w:val="0036748B"/>
    <w:rsid w:val="00370BB3"/>
    <w:rsid w:val="00373094"/>
    <w:rsid w:val="00375F09"/>
    <w:rsid w:val="00375F5D"/>
    <w:rsid w:val="0037677B"/>
    <w:rsid w:val="003812F3"/>
    <w:rsid w:val="00381407"/>
    <w:rsid w:val="00383C7D"/>
    <w:rsid w:val="00385B11"/>
    <w:rsid w:val="00387CBE"/>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2813"/>
    <w:rsid w:val="003D4C3E"/>
    <w:rsid w:val="003D737C"/>
    <w:rsid w:val="003E2A2A"/>
    <w:rsid w:val="003E317A"/>
    <w:rsid w:val="003E4E28"/>
    <w:rsid w:val="003E628E"/>
    <w:rsid w:val="003F26FF"/>
    <w:rsid w:val="003F6B1A"/>
    <w:rsid w:val="003F7303"/>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1955"/>
    <w:rsid w:val="00454664"/>
    <w:rsid w:val="004557B5"/>
    <w:rsid w:val="00455A0A"/>
    <w:rsid w:val="00461996"/>
    <w:rsid w:val="00461F8D"/>
    <w:rsid w:val="0047045B"/>
    <w:rsid w:val="004728E2"/>
    <w:rsid w:val="00475E1E"/>
    <w:rsid w:val="00476138"/>
    <w:rsid w:val="00482341"/>
    <w:rsid w:val="00482B50"/>
    <w:rsid w:val="0048307D"/>
    <w:rsid w:val="00490D7C"/>
    <w:rsid w:val="00492BD8"/>
    <w:rsid w:val="00494637"/>
    <w:rsid w:val="0049559A"/>
    <w:rsid w:val="00497915"/>
    <w:rsid w:val="004A0C38"/>
    <w:rsid w:val="004A4222"/>
    <w:rsid w:val="004A529F"/>
    <w:rsid w:val="004A67A4"/>
    <w:rsid w:val="004A70DF"/>
    <w:rsid w:val="004A7251"/>
    <w:rsid w:val="004B0E7F"/>
    <w:rsid w:val="004B1FBF"/>
    <w:rsid w:val="004B29E7"/>
    <w:rsid w:val="004B31E7"/>
    <w:rsid w:val="004B3350"/>
    <w:rsid w:val="004B3703"/>
    <w:rsid w:val="004B6C02"/>
    <w:rsid w:val="004B71FE"/>
    <w:rsid w:val="004B7264"/>
    <w:rsid w:val="004C4238"/>
    <w:rsid w:val="004C599C"/>
    <w:rsid w:val="004C73BB"/>
    <w:rsid w:val="004D2468"/>
    <w:rsid w:val="004D36A0"/>
    <w:rsid w:val="004D792C"/>
    <w:rsid w:val="004E2B80"/>
    <w:rsid w:val="004E7078"/>
    <w:rsid w:val="004F0EF3"/>
    <w:rsid w:val="004F1DE2"/>
    <w:rsid w:val="004F2042"/>
    <w:rsid w:val="004F526E"/>
    <w:rsid w:val="00502A8E"/>
    <w:rsid w:val="00504980"/>
    <w:rsid w:val="00507778"/>
    <w:rsid w:val="00513A2C"/>
    <w:rsid w:val="00513EC8"/>
    <w:rsid w:val="00514325"/>
    <w:rsid w:val="005224F7"/>
    <w:rsid w:val="00524D76"/>
    <w:rsid w:val="00524F7F"/>
    <w:rsid w:val="005271D9"/>
    <w:rsid w:val="005278B3"/>
    <w:rsid w:val="00531A03"/>
    <w:rsid w:val="00543A3F"/>
    <w:rsid w:val="00544D05"/>
    <w:rsid w:val="005452C4"/>
    <w:rsid w:val="00546B9A"/>
    <w:rsid w:val="00552B4E"/>
    <w:rsid w:val="00555F24"/>
    <w:rsid w:val="0055766C"/>
    <w:rsid w:val="0056178A"/>
    <w:rsid w:val="00564BF8"/>
    <w:rsid w:val="00566E13"/>
    <w:rsid w:val="005711B5"/>
    <w:rsid w:val="00573C6B"/>
    <w:rsid w:val="0057762A"/>
    <w:rsid w:val="00582CD9"/>
    <w:rsid w:val="00586E45"/>
    <w:rsid w:val="00590AB7"/>
    <w:rsid w:val="00593FF8"/>
    <w:rsid w:val="00596F50"/>
    <w:rsid w:val="005A2595"/>
    <w:rsid w:val="005A36C1"/>
    <w:rsid w:val="005A5B18"/>
    <w:rsid w:val="005B01E5"/>
    <w:rsid w:val="005B020B"/>
    <w:rsid w:val="005B191B"/>
    <w:rsid w:val="005B2DAB"/>
    <w:rsid w:val="005B2E1B"/>
    <w:rsid w:val="005B4175"/>
    <w:rsid w:val="005B71AB"/>
    <w:rsid w:val="005C06EB"/>
    <w:rsid w:val="005C3D8E"/>
    <w:rsid w:val="005C44F7"/>
    <w:rsid w:val="005C6784"/>
    <w:rsid w:val="005D1762"/>
    <w:rsid w:val="005D1B4A"/>
    <w:rsid w:val="005D285E"/>
    <w:rsid w:val="005D447A"/>
    <w:rsid w:val="005D5700"/>
    <w:rsid w:val="005E1A13"/>
    <w:rsid w:val="005E1B60"/>
    <w:rsid w:val="005E581E"/>
    <w:rsid w:val="005E5F2D"/>
    <w:rsid w:val="005E62DC"/>
    <w:rsid w:val="005F41C7"/>
    <w:rsid w:val="005F5B58"/>
    <w:rsid w:val="005F608D"/>
    <w:rsid w:val="006122F0"/>
    <w:rsid w:val="006128C6"/>
    <w:rsid w:val="00612981"/>
    <w:rsid w:val="00616075"/>
    <w:rsid w:val="00617977"/>
    <w:rsid w:val="00624DBB"/>
    <w:rsid w:val="006257B3"/>
    <w:rsid w:val="00627C47"/>
    <w:rsid w:val="00636E73"/>
    <w:rsid w:val="0064173C"/>
    <w:rsid w:val="00643ACD"/>
    <w:rsid w:val="00644263"/>
    <w:rsid w:val="00646B8E"/>
    <w:rsid w:val="00647F7A"/>
    <w:rsid w:val="00650999"/>
    <w:rsid w:val="0065264E"/>
    <w:rsid w:val="006529AC"/>
    <w:rsid w:val="00653055"/>
    <w:rsid w:val="006537D6"/>
    <w:rsid w:val="00654888"/>
    <w:rsid w:val="00656191"/>
    <w:rsid w:val="0066073A"/>
    <w:rsid w:val="00660E3E"/>
    <w:rsid w:val="00661B1C"/>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0237"/>
    <w:rsid w:val="006B4E48"/>
    <w:rsid w:val="006C5919"/>
    <w:rsid w:val="006C61D1"/>
    <w:rsid w:val="006C7D98"/>
    <w:rsid w:val="006C7F3E"/>
    <w:rsid w:val="006D1196"/>
    <w:rsid w:val="006D2E8A"/>
    <w:rsid w:val="006D56FF"/>
    <w:rsid w:val="006D6A12"/>
    <w:rsid w:val="006E12EA"/>
    <w:rsid w:val="006E1D67"/>
    <w:rsid w:val="006E407F"/>
    <w:rsid w:val="006F4DC0"/>
    <w:rsid w:val="006F6B4F"/>
    <w:rsid w:val="0070154D"/>
    <w:rsid w:val="0070182E"/>
    <w:rsid w:val="00704DE1"/>
    <w:rsid w:val="007054E5"/>
    <w:rsid w:val="00710F38"/>
    <w:rsid w:val="00714F2F"/>
    <w:rsid w:val="007201A5"/>
    <w:rsid w:val="007225D5"/>
    <w:rsid w:val="00722C17"/>
    <w:rsid w:val="00723BBA"/>
    <w:rsid w:val="00726A0E"/>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870B0"/>
    <w:rsid w:val="0079273C"/>
    <w:rsid w:val="00792ADE"/>
    <w:rsid w:val="00797451"/>
    <w:rsid w:val="007A04B5"/>
    <w:rsid w:val="007A1805"/>
    <w:rsid w:val="007A1F7C"/>
    <w:rsid w:val="007A36E0"/>
    <w:rsid w:val="007A4018"/>
    <w:rsid w:val="007B0568"/>
    <w:rsid w:val="007B0708"/>
    <w:rsid w:val="007B0B53"/>
    <w:rsid w:val="007B7487"/>
    <w:rsid w:val="007C10C1"/>
    <w:rsid w:val="007C10F2"/>
    <w:rsid w:val="007C3D9D"/>
    <w:rsid w:val="007C6A9B"/>
    <w:rsid w:val="007C7901"/>
    <w:rsid w:val="007C79E0"/>
    <w:rsid w:val="007D1BF2"/>
    <w:rsid w:val="007D1F29"/>
    <w:rsid w:val="007D2580"/>
    <w:rsid w:val="007D2F75"/>
    <w:rsid w:val="007D39FC"/>
    <w:rsid w:val="007D64C2"/>
    <w:rsid w:val="007D6DF6"/>
    <w:rsid w:val="007D76EC"/>
    <w:rsid w:val="007E0E9F"/>
    <w:rsid w:val="007E500A"/>
    <w:rsid w:val="007F0F1C"/>
    <w:rsid w:val="007F2263"/>
    <w:rsid w:val="007F237D"/>
    <w:rsid w:val="007F348A"/>
    <w:rsid w:val="007F3E25"/>
    <w:rsid w:val="007F41E4"/>
    <w:rsid w:val="007F461C"/>
    <w:rsid w:val="007F50D6"/>
    <w:rsid w:val="007F6CFF"/>
    <w:rsid w:val="007F7EB1"/>
    <w:rsid w:val="0080260F"/>
    <w:rsid w:val="0080554D"/>
    <w:rsid w:val="00810166"/>
    <w:rsid w:val="00812D01"/>
    <w:rsid w:val="0082183C"/>
    <w:rsid w:val="008251B9"/>
    <w:rsid w:val="00827120"/>
    <w:rsid w:val="008419F7"/>
    <w:rsid w:val="008456C3"/>
    <w:rsid w:val="00846F99"/>
    <w:rsid w:val="0085152C"/>
    <w:rsid w:val="008518D1"/>
    <w:rsid w:val="00861001"/>
    <w:rsid w:val="00861ED6"/>
    <w:rsid w:val="00864A73"/>
    <w:rsid w:val="008664C4"/>
    <w:rsid w:val="00867176"/>
    <w:rsid w:val="0086794C"/>
    <w:rsid w:val="008708FE"/>
    <w:rsid w:val="008709D9"/>
    <w:rsid w:val="00871480"/>
    <w:rsid w:val="008722F5"/>
    <w:rsid w:val="00873C66"/>
    <w:rsid w:val="00876408"/>
    <w:rsid w:val="00880CE7"/>
    <w:rsid w:val="00886CE1"/>
    <w:rsid w:val="008902F1"/>
    <w:rsid w:val="00890D0C"/>
    <w:rsid w:val="00891E5C"/>
    <w:rsid w:val="008958D9"/>
    <w:rsid w:val="008966BA"/>
    <w:rsid w:val="008A0829"/>
    <w:rsid w:val="008A1274"/>
    <w:rsid w:val="008A447E"/>
    <w:rsid w:val="008A466F"/>
    <w:rsid w:val="008A5792"/>
    <w:rsid w:val="008B7300"/>
    <w:rsid w:val="008C07A3"/>
    <w:rsid w:val="008C340C"/>
    <w:rsid w:val="008C71D2"/>
    <w:rsid w:val="008D4D82"/>
    <w:rsid w:val="008E55CF"/>
    <w:rsid w:val="008E73E8"/>
    <w:rsid w:val="008F519C"/>
    <w:rsid w:val="008F622E"/>
    <w:rsid w:val="009043B5"/>
    <w:rsid w:val="00904E8A"/>
    <w:rsid w:val="00907644"/>
    <w:rsid w:val="00910C04"/>
    <w:rsid w:val="00911D84"/>
    <w:rsid w:val="00913B29"/>
    <w:rsid w:val="009154E9"/>
    <w:rsid w:val="00917819"/>
    <w:rsid w:val="009225C1"/>
    <w:rsid w:val="00922F3A"/>
    <w:rsid w:val="009232BD"/>
    <w:rsid w:val="00930AB1"/>
    <w:rsid w:val="00932B00"/>
    <w:rsid w:val="0093398D"/>
    <w:rsid w:val="00934558"/>
    <w:rsid w:val="00934FFB"/>
    <w:rsid w:val="00935136"/>
    <w:rsid w:val="009358C0"/>
    <w:rsid w:val="0093704D"/>
    <w:rsid w:val="0094562C"/>
    <w:rsid w:val="0095048A"/>
    <w:rsid w:val="00950EB2"/>
    <w:rsid w:val="00953A9E"/>
    <w:rsid w:val="009551D8"/>
    <w:rsid w:val="00960D1E"/>
    <w:rsid w:val="00963743"/>
    <w:rsid w:val="00964AE0"/>
    <w:rsid w:val="009651A4"/>
    <w:rsid w:val="00965BA4"/>
    <w:rsid w:val="0096689E"/>
    <w:rsid w:val="00973173"/>
    <w:rsid w:val="00975A15"/>
    <w:rsid w:val="009771C9"/>
    <w:rsid w:val="00982F7A"/>
    <w:rsid w:val="009911D2"/>
    <w:rsid w:val="0099475D"/>
    <w:rsid w:val="0099662B"/>
    <w:rsid w:val="00996C38"/>
    <w:rsid w:val="009A264B"/>
    <w:rsid w:val="009A469E"/>
    <w:rsid w:val="009A514C"/>
    <w:rsid w:val="009A6D5D"/>
    <w:rsid w:val="009A7E09"/>
    <w:rsid w:val="009B1225"/>
    <w:rsid w:val="009B2EB4"/>
    <w:rsid w:val="009B4302"/>
    <w:rsid w:val="009B489E"/>
    <w:rsid w:val="009B4FFF"/>
    <w:rsid w:val="009B6C37"/>
    <w:rsid w:val="009C020E"/>
    <w:rsid w:val="009C3F8E"/>
    <w:rsid w:val="009C51D5"/>
    <w:rsid w:val="009C686B"/>
    <w:rsid w:val="009C6AA2"/>
    <w:rsid w:val="009C7113"/>
    <w:rsid w:val="009D10C5"/>
    <w:rsid w:val="009D1110"/>
    <w:rsid w:val="009D3614"/>
    <w:rsid w:val="009D5226"/>
    <w:rsid w:val="009E10BD"/>
    <w:rsid w:val="009E11E6"/>
    <w:rsid w:val="009E12C2"/>
    <w:rsid w:val="009E1636"/>
    <w:rsid w:val="009E19F9"/>
    <w:rsid w:val="009E3915"/>
    <w:rsid w:val="009E53D5"/>
    <w:rsid w:val="009E55CA"/>
    <w:rsid w:val="009E65A9"/>
    <w:rsid w:val="009F00B3"/>
    <w:rsid w:val="009F05B7"/>
    <w:rsid w:val="009F5D00"/>
    <w:rsid w:val="009F6779"/>
    <w:rsid w:val="00A00B8F"/>
    <w:rsid w:val="00A018D8"/>
    <w:rsid w:val="00A01EB0"/>
    <w:rsid w:val="00A04AFF"/>
    <w:rsid w:val="00A06752"/>
    <w:rsid w:val="00A07425"/>
    <w:rsid w:val="00A170EA"/>
    <w:rsid w:val="00A20136"/>
    <w:rsid w:val="00A22358"/>
    <w:rsid w:val="00A23699"/>
    <w:rsid w:val="00A30CF4"/>
    <w:rsid w:val="00A35218"/>
    <w:rsid w:val="00A41CE2"/>
    <w:rsid w:val="00A420E4"/>
    <w:rsid w:val="00A433C7"/>
    <w:rsid w:val="00A44977"/>
    <w:rsid w:val="00A44ACA"/>
    <w:rsid w:val="00A45469"/>
    <w:rsid w:val="00A50963"/>
    <w:rsid w:val="00A532EF"/>
    <w:rsid w:val="00A54D24"/>
    <w:rsid w:val="00A6165C"/>
    <w:rsid w:val="00A6464E"/>
    <w:rsid w:val="00A66442"/>
    <w:rsid w:val="00A67026"/>
    <w:rsid w:val="00A675F8"/>
    <w:rsid w:val="00A71915"/>
    <w:rsid w:val="00A73EC7"/>
    <w:rsid w:val="00A76931"/>
    <w:rsid w:val="00A76B1F"/>
    <w:rsid w:val="00A77C47"/>
    <w:rsid w:val="00A81F68"/>
    <w:rsid w:val="00A82210"/>
    <w:rsid w:val="00A96023"/>
    <w:rsid w:val="00AA04BC"/>
    <w:rsid w:val="00AA1F82"/>
    <w:rsid w:val="00AA49E1"/>
    <w:rsid w:val="00AB19FF"/>
    <w:rsid w:val="00AB4626"/>
    <w:rsid w:val="00AC315E"/>
    <w:rsid w:val="00AC368A"/>
    <w:rsid w:val="00AC3786"/>
    <w:rsid w:val="00AC4EC7"/>
    <w:rsid w:val="00AC6304"/>
    <w:rsid w:val="00AC6E32"/>
    <w:rsid w:val="00AD2E0C"/>
    <w:rsid w:val="00AD611B"/>
    <w:rsid w:val="00AD71F4"/>
    <w:rsid w:val="00AD7ABD"/>
    <w:rsid w:val="00AE0DEC"/>
    <w:rsid w:val="00AE1A4A"/>
    <w:rsid w:val="00AE1E50"/>
    <w:rsid w:val="00AE24DD"/>
    <w:rsid w:val="00AE3F46"/>
    <w:rsid w:val="00AE5390"/>
    <w:rsid w:val="00AE5E63"/>
    <w:rsid w:val="00AE67DE"/>
    <w:rsid w:val="00AF266A"/>
    <w:rsid w:val="00AF4D76"/>
    <w:rsid w:val="00B01DA7"/>
    <w:rsid w:val="00B0362B"/>
    <w:rsid w:val="00B03CD6"/>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04AB"/>
    <w:rsid w:val="00B4113F"/>
    <w:rsid w:val="00B416C4"/>
    <w:rsid w:val="00B42A2F"/>
    <w:rsid w:val="00B43A12"/>
    <w:rsid w:val="00B4493E"/>
    <w:rsid w:val="00B45C24"/>
    <w:rsid w:val="00B54F6E"/>
    <w:rsid w:val="00B56DCE"/>
    <w:rsid w:val="00B57E8C"/>
    <w:rsid w:val="00B61021"/>
    <w:rsid w:val="00B61DF3"/>
    <w:rsid w:val="00B6306C"/>
    <w:rsid w:val="00B639AA"/>
    <w:rsid w:val="00B665F9"/>
    <w:rsid w:val="00B706C6"/>
    <w:rsid w:val="00B752F3"/>
    <w:rsid w:val="00B841B8"/>
    <w:rsid w:val="00B870BE"/>
    <w:rsid w:val="00B8726A"/>
    <w:rsid w:val="00B87453"/>
    <w:rsid w:val="00B902E1"/>
    <w:rsid w:val="00B938EA"/>
    <w:rsid w:val="00B93C6E"/>
    <w:rsid w:val="00B95E29"/>
    <w:rsid w:val="00B96E2E"/>
    <w:rsid w:val="00B9706F"/>
    <w:rsid w:val="00BA3235"/>
    <w:rsid w:val="00BA6A36"/>
    <w:rsid w:val="00BB1EA5"/>
    <w:rsid w:val="00BB77E8"/>
    <w:rsid w:val="00BC0879"/>
    <w:rsid w:val="00BC2D76"/>
    <w:rsid w:val="00BC3166"/>
    <w:rsid w:val="00BC3FF1"/>
    <w:rsid w:val="00BC408E"/>
    <w:rsid w:val="00BC677C"/>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12F1"/>
    <w:rsid w:val="00C425E9"/>
    <w:rsid w:val="00C42687"/>
    <w:rsid w:val="00C467AA"/>
    <w:rsid w:val="00C576B3"/>
    <w:rsid w:val="00C60219"/>
    <w:rsid w:val="00C6222C"/>
    <w:rsid w:val="00C63AAA"/>
    <w:rsid w:val="00C65C67"/>
    <w:rsid w:val="00C6610F"/>
    <w:rsid w:val="00C679F1"/>
    <w:rsid w:val="00C72D1F"/>
    <w:rsid w:val="00C73B37"/>
    <w:rsid w:val="00C74CB2"/>
    <w:rsid w:val="00C767B1"/>
    <w:rsid w:val="00C80605"/>
    <w:rsid w:val="00C829C3"/>
    <w:rsid w:val="00C87FC0"/>
    <w:rsid w:val="00C90208"/>
    <w:rsid w:val="00C92C85"/>
    <w:rsid w:val="00C967C4"/>
    <w:rsid w:val="00CA15DF"/>
    <w:rsid w:val="00CA2023"/>
    <w:rsid w:val="00CA22A9"/>
    <w:rsid w:val="00CA2E28"/>
    <w:rsid w:val="00CA362D"/>
    <w:rsid w:val="00CA4250"/>
    <w:rsid w:val="00CB0E68"/>
    <w:rsid w:val="00CB0FE3"/>
    <w:rsid w:val="00CB282D"/>
    <w:rsid w:val="00CB57EF"/>
    <w:rsid w:val="00CB5FCA"/>
    <w:rsid w:val="00CB6808"/>
    <w:rsid w:val="00CC141E"/>
    <w:rsid w:val="00CC6326"/>
    <w:rsid w:val="00CD04EF"/>
    <w:rsid w:val="00CD1407"/>
    <w:rsid w:val="00CD1819"/>
    <w:rsid w:val="00CD20A5"/>
    <w:rsid w:val="00CD2154"/>
    <w:rsid w:val="00CD2ABB"/>
    <w:rsid w:val="00CD405E"/>
    <w:rsid w:val="00CD599F"/>
    <w:rsid w:val="00CD67D7"/>
    <w:rsid w:val="00CE2B3E"/>
    <w:rsid w:val="00CE30B2"/>
    <w:rsid w:val="00CE6915"/>
    <w:rsid w:val="00CF17F5"/>
    <w:rsid w:val="00D007D1"/>
    <w:rsid w:val="00D01B1C"/>
    <w:rsid w:val="00D03DAF"/>
    <w:rsid w:val="00D045A9"/>
    <w:rsid w:val="00D06C38"/>
    <w:rsid w:val="00D07997"/>
    <w:rsid w:val="00D1079D"/>
    <w:rsid w:val="00D10C65"/>
    <w:rsid w:val="00D11115"/>
    <w:rsid w:val="00D12882"/>
    <w:rsid w:val="00D165F1"/>
    <w:rsid w:val="00D2533F"/>
    <w:rsid w:val="00D32067"/>
    <w:rsid w:val="00D32D87"/>
    <w:rsid w:val="00D35A7F"/>
    <w:rsid w:val="00D37A4D"/>
    <w:rsid w:val="00D436D8"/>
    <w:rsid w:val="00D45B96"/>
    <w:rsid w:val="00D4752C"/>
    <w:rsid w:val="00D54BAC"/>
    <w:rsid w:val="00D630A9"/>
    <w:rsid w:val="00D67A5C"/>
    <w:rsid w:val="00D67F38"/>
    <w:rsid w:val="00D71193"/>
    <w:rsid w:val="00D71D66"/>
    <w:rsid w:val="00D7283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5F"/>
    <w:rsid w:val="00DE4BCA"/>
    <w:rsid w:val="00DE7549"/>
    <w:rsid w:val="00DF0874"/>
    <w:rsid w:val="00DF1338"/>
    <w:rsid w:val="00DF1D9B"/>
    <w:rsid w:val="00DF682B"/>
    <w:rsid w:val="00DF78BA"/>
    <w:rsid w:val="00E002AA"/>
    <w:rsid w:val="00E02EB6"/>
    <w:rsid w:val="00E03701"/>
    <w:rsid w:val="00E04423"/>
    <w:rsid w:val="00E06323"/>
    <w:rsid w:val="00E06FC6"/>
    <w:rsid w:val="00E133B1"/>
    <w:rsid w:val="00E14C92"/>
    <w:rsid w:val="00E160AA"/>
    <w:rsid w:val="00E176D4"/>
    <w:rsid w:val="00E20AA4"/>
    <w:rsid w:val="00E25A14"/>
    <w:rsid w:val="00E30006"/>
    <w:rsid w:val="00E31192"/>
    <w:rsid w:val="00E32714"/>
    <w:rsid w:val="00E33D12"/>
    <w:rsid w:val="00E357A5"/>
    <w:rsid w:val="00E35FAB"/>
    <w:rsid w:val="00E4028D"/>
    <w:rsid w:val="00E41EF9"/>
    <w:rsid w:val="00E42995"/>
    <w:rsid w:val="00E42E35"/>
    <w:rsid w:val="00E4712E"/>
    <w:rsid w:val="00E50940"/>
    <w:rsid w:val="00E53289"/>
    <w:rsid w:val="00E53FED"/>
    <w:rsid w:val="00E60339"/>
    <w:rsid w:val="00E62608"/>
    <w:rsid w:val="00E65955"/>
    <w:rsid w:val="00E677B5"/>
    <w:rsid w:val="00E716D7"/>
    <w:rsid w:val="00E71BA0"/>
    <w:rsid w:val="00E77EC8"/>
    <w:rsid w:val="00E80444"/>
    <w:rsid w:val="00E81990"/>
    <w:rsid w:val="00E81ED6"/>
    <w:rsid w:val="00E829D4"/>
    <w:rsid w:val="00E84CCC"/>
    <w:rsid w:val="00E85B06"/>
    <w:rsid w:val="00E86493"/>
    <w:rsid w:val="00E90712"/>
    <w:rsid w:val="00E93E1E"/>
    <w:rsid w:val="00E95994"/>
    <w:rsid w:val="00E97738"/>
    <w:rsid w:val="00EA1B53"/>
    <w:rsid w:val="00EA1FE9"/>
    <w:rsid w:val="00EA42AF"/>
    <w:rsid w:val="00EA4B89"/>
    <w:rsid w:val="00EA7ABA"/>
    <w:rsid w:val="00EA7BAF"/>
    <w:rsid w:val="00EB08CF"/>
    <w:rsid w:val="00EB212F"/>
    <w:rsid w:val="00EC0823"/>
    <w:rsid w:val="00EC09C5"/>
    <w:rsid w:val="00EC4D81"/>
    <w:rsid w:val="00EC569C"/>
    <w:rsid w:val="00EC6415"/>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2601"/>
    <w:rsid w:val="00F04FA8"/>
    <w:rsid w:val="00F072CD"/>
    <w:rsid w:val="00F11247"/>
    <w:rsid w:val="00F11623"/>
    <w:rsid w:val="00F14ECE"/>
    <w:rsid w:val="00F17E2E"/>
    <w:rsid w:val="00F21DA0"/>
    <w:rsid w:val="00F22BA9"/>
    <w:rsid w:val="00F235B0"/>
    <w:rsid w:val="00F243C8"/>
    <w:rsid w:val="00F265F0"/>
    <w:rsid w:val="00F26A7A"/>
    <w:rsid w:val="00F315DE"/>
    <w:rsid w:val="00F316BF"/>
    <w:rsid w:val="00F3407A"/>
    <w:rsid w:val="00F359B7"/>
    <w:rsid w:val="00F35B6B"/>
    <w:rsid w:val="00F45529"/>
    <w:rsid w:val="00F465DC"/>
    <w:rsid w:val="00F46E35"/>
    <w:rsid w:val="00F5006E"/>
    <w:rsid w:val="00F51FAE"/>
    <w:rsid w:val="00F5727D"/>
    <w:rsid w:val="00F573AF"/>
    <w:rsid w:val="00F574E8"/>
    <w:rsid w:val="00F61B64"/>
    <w:rsid w:val="00F626D9"/>
    <w:rsid w:val="00F63B28"/>
    <w:rsid w:val="00F71BC7"/>
    <w:rsid w:val="00F8062F"/>
    <w:rsid w:val="00F80C34"/>
    <w:rsid w:val="00F8179C"/>
    <w:rsid w:val="00F90F27"/>
    <w:rsid w:val="00F929C2"/>
    <w:rsid w:val="00F93A1A"/>
    <w:rsid w:val="00F95E08"/>
    <w:rsid w:val="00F96051"/>
    <w:rsid w:val="00FA5F7D"/>
    <w:rsid w:val="00FB1366"/>
    <w:rsid w:val="00FB4912"/>
    <w:rsid w:val="00FB61D5"/>
    <w:rsid w:val="00FC4C44"/>
    <w:rsid w:val="00FC79D7"/>
    <w:rsid w:val="00FD19C6"/>
    <w:rsid w:val="00FD3B58"/>
    <w:rsid w:val="00FE01AA"/>
    <w:rsid w:val="00FE07D1"/>
    <w:rsid w:val="00FE35DF"/>
    <w:rsid w:val="00FE4549"/>
    <w:rsid w:val="00FE6DC9"/>
    <w:rsid w:val="00FE76C9"/>
    <w:rsid w:val="01C6081D"/>
    <w:rsid w:val="0396211E"/>
    <w:rsid w:val="040C70B8"/>
    <w:rsid w:val="048356C2"/>
    <w:rsid w:val="05214C6E"/>
    <w:rsid w:val="06C61515"/>
    <w:rsid w:val="07406A2D"/>
    <w:rsid w:val="08335DA8"/>
    <w:rsid w:val="08511B03"/>
    <w:rsid w:val="0A4A0F15"/>
    <w:rsid w:val="0B707E0C"/>
    <w:rsid w:val="0BA26ECB"/>
    <w:rsid w:val="0BEA1150"/>
    <w:rsid w:val="0C3D6E4B"/>
    <w:rsid w:val="0C4E2B00"/>
    <w:rsid w:val="0CA14260"/>
    <w:rsid w:val="0D08560B"/>
    <w:rsid w:val="0E372F95"/>
    <w:rsid w:val="0F202F07"/>
    <w:rsid w:val="0F533FE2"/>
    <w:rsid w:val="0F7F7A9C"/>
    <w:rsid w:val="10393859"/>
    <w:rsid w:val="111F03D8"/>
    <w:rsid w:val="12E0534B"/>
    <w:rsid w:val="143570C3"/>
    <w:rsid w:val="14B54C74"/>
    <w:rsid w:val="14F12CFE"/>
    <w:rsid w:val="156E326E"/>
    <w:rsid w:val="16643606"/>
    <w:rsid w:val="184941FD"/>
    <w:rsid w:val="1965348B"/>
    <w:rsid w:val="19CC1262"/>
    <w:rsid w:val="1A4A1518"/>
    <w:rsid w:val="1BC837A0"/>
    <w:rsid w:val="1C83130A"/>
    <w:rsid w:val="1D8E2655"/>
    <w:rsid w:val="1E8D37C0"/>
    <w:rsid w:val="1E910671"/>
    <w:rsid w:val="1EDF5BAD"/>
    <w:rsid w:val="1F5F2A1E"/>
    <w:rsid w:val="1F873F05"/>
    <w:rsid w:val="1FEE1989"/>
    <w:rsid w:val="203B7217"/>
    <w:rsid w:val="20644E2A"/>
    <w:rsid w:val="21BB336B"/>
    <w:rsid w:val="22B16445"/>
    <w:rsid w:val="22EB6C48"/>
    <w:rsid w:val="235627B3"/>
    <w:rsid w:val="28047B64"/>
    <w:rsid w:val="287603A7"/>
    <w:rsid w:val="29A05BEF"/>
    <w:rsid w:val="2A2B5331"/>
    <w:rsid w:val="2A736D9D"/>
    <w:rsid w:val="2A806506"/>
    <w:rsid w:val="2BD40EB0"/>
    <w:rsid w:val="2C4C5E8B"/>
    <w:rsid w:val="2D5D3182"/>
    <w:rsid w:val="2F3276C7"/>
    <w:rsid w:val="2F9E15F6"/>
    <w:rsid w:val="2FE563BF"/>
    <w:rsid w:val="3029612C"/>
    <w:rsid w:val="30584EEA"/>
    <w:rsid w:val="306B6BAB"/>
    <w:rsid w:val="30C46074"/>
    <w:rsid w:val="3346062B"/>
    <w:rsid w:val="33A53EC8"/>
    <w:rsid w:val="34151D8E"/>
    <w:rsid w:val="341D7E87"/>
    <w:rsid w:val="34C80BDF"/>
    <w:rsid w:val="3502328D"/>
    <w:rsid w:val="36E55085"/>
    <w:rsid w:val="37751AF0"/>
    <w:rsid w:val="38850185"/>
    <w:rsid w:val="3A601CA4"/>
    <w:rsid w:val="3A9D5D02"/>
    <w:rsid w:val="3BBC06C3"/>
    <w:rsid w:val="3C831334"/>
    <w:rsid w:val="3C8F0DB1"/>
    <w:rsid w:val="3D6B5CC3"/>
    <w:rsid w:val="3F457B27"/>
    <w:rsid w:val="3FFA1EC7"/>
    <w:rsid w:val="408978EB"/>
    <w:rsid w:val="40DA2DFB"/>
    <w:rsid w:val="414E50F4"/>
    <w:rsid w:val="424C285E"/>
    <w:rsid w:val="42DB4B24"/>
    <w:rsid w:val="44105AB2"/>
    <w:rsid w:val="451A5EF2"/>
    <w:rsid w:val="455077AF"/>
    <w:rsid w:val="45D61170"/>
    <w:rsid w:val="47480D31"/>
    <w:rsid w:val="474C413B"/>
    <w:rsid w:val="48B9451E"/>
    <w:rsid w:val="49252883"/>
    <w:rsid w:val="493C4A74"/>
    <w:rsid w:val="49695AF7"/>
    <w:rsid w:val="499D7B84"/>
    <w:rsid w:val="49A46A9C"/>
    <w:rsid w:val="49B82E3F"/>
    <w:rsid w:val="49C010F7"/>
    <w:rsid w:val="4CF363A1"/>
    <w:rsid w:val="4DEB7AF5"/>
    <w:rsid w:val="4DF07E6B"/>
    <w:rsid w:val="4E602391"/>
    <w:rsid w:val="4EBE750F"/>
    <w:rsid w:val="4EC10820"/>
    <w:rsid w:val="53815EF2"/>
    <w:rsid w:val="55256E16"/>
    <w:rsid w:val="568A134B"/>
    <w:rsid w:val="5704235B"/>
    <w:rsid w:val="57165D3A"/>
    <w:rsid w:val="573678DC"/>
    <w:rsid w:val="57BE3CD2"/>
    <w:rsid w:val="59334136"/>
    <w:rsid w:val="59C344E4"/>
    <w:rsid w:val="59D91176"/>
    <w:rsid w:val="59E253A8"/>
    <w:rsid w:val="5A144FE4"/>
    <w:rsid w:val="5AF54DB1"/>
    <w:rsid w:val="5B7820C2"/>
    <w:rsid w:val="5B822F01"/>
    <w:rsid w:val="5C1D7806"/>
    <w:rsid w:val="5C7F57FD"/>
    <w:rsid w:val="5C92241F"/>
    <w:rsid w:val="5CD3076E"/>
    <w:rsid w:val="5DA11A4B"/>
    <w:rsid w:val="615B12C7"/>
    <w:rsid w:val="63845DA1"/>
    <w:rsid w:val="64A81D34"/>
    <w:rsid w:val="65B71508"/>
    <w:rsid w:val="66A82BFF"/>
    <w:rsid w:val="67A52872"/>
    <w:rsid w:val="67E039D7"/>
    <w:rsid w:val="68066C6F"/>
    <w:rsid w:val="6910451E"/>
    <w:rsid w:val="69134930"/>
    <w:rsid w:val="6D74345B"/>
    <w:rsid w:val="6EAD269B"/>
    <w:rsid w:val="6EFC61DE"/>
    <w:rsid w:val="6F130D6B"/>
    <w:rsid w:val="6FDB6DB6"/>
    <w:rsid w:val="70C459E5"/>
    <w:rsid w:val="71241F08"/>
    <w:rsid w:val="71551F4C"/>
    <w:rsid w:val="71E749BC"/>
    <w:rsid w:val="74B73D3A"/>
    <w:rsid w:val="74F07550"/>
    <w:rsid w:val="758A453A"/>
    <w:rsid w:val="75E64D79"/>
    <w:rsid w:val="76C35B86"/>
    <w:rsid w:val="773C174A"/>
    <w:rsid w:val="777C730B"/>
    <w:rsid w:val="795D1AEE"/>
    <w:rsid w:val="79D86BE9"/>
    <w:rsid w:val="7B016CDB"/>
    <w:rsid w:val="7C39190A"/>
    <w:rsid w:val="7C601D5B"/>
    <w:rsid w:val="7D80036F"/>
    <w:rsid w:val="7E6C272D"/>
    <w:rsid w:val="7F6806A3"/>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eastAsia="黑体" w:cstheme="minorBidi"/>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cstheme="minorBidi"/>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cstheme="minorBidi"/>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hAnsiTheme="minorHAnsi" w:cstheme="minorBidi"/>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cstheme="minorBidi"/>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cstheme="minorBidi"/>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cstheme="minorBidi"/>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cstheme="minorBidi"/>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cstheme="minorBidi"/>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cstheme="minorBidi"/>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cstheme="minorBidi"/>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cstheme="minorBidi"/>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cstheme="minorBidi"/>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cstheme="minorBidi"/>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cstheme="minorBidi"/>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eastAsia="黑体" w:cstheme="minorBidi"/>
      <w:sz w:val="21"/>
    </w:rPr>
  </w:style>
  <w:style w:type="paragraph" w:customStyle="1" w:styleId="119">
    <w:name w:val="标准文件_一级条标题"/>
    <w:basedOn w:val="117"/>
    <w:next w:val="23"/>
    <w:link w:val="120"/>
    <w:qFormat/>
    <w:uiPriority w:val="0"/>
    <w:pPr>
      <w:numPr>
        <w:ilvl w:val="1"/>
      </w:numPr>
      <w:spacing w:beforeLines="50" w:afterLines="50"/>
      <w:outlineLvl w:val="1"/>
    </w:pPr>
  </w:style>
  <w:style w:type="character" w:customStyle="1" w:styleId="120">
    <w:name w:val="标准文件_一级条标题 字符"/>
    <w:basedOn w:val="19"/>
    <w:link w:val="119"/>
    <w:qFormat/>
    <w:uiPriority w:val="0"/>
    <w:rPr>
      <w:rFonts w:ascii="黑体" w:eastAsia="黑体" w:cstheme="minorBidi"/>
      <w:sz w:val="21"/>
    </w:rPr>
  </w:style>
  <w:style w:type="paragraph" w:customStyle="1" w:styleId="121">
    <w:name w:val="标准文件_二级条标题"/>
    <w:next w:val="23"/>
    <w:link w:val="122"/>
    <w:qFormat/>
    <w:uiPriority w:val="0"/>
    <w:pPr>
      <w:numPr>
        <w:ilvl w:val="2"/>
        <w:numId w:val="13"/>
      </w:numPr>
      <w:spacing w:beforeLines="50" w:afterLines="50"/>
      <w:ind w:left="71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cstheme="minorBidi"/>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cstheme="minorBidi"/>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cstheme="minorBidi"/>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cstheme="minorBidi"/>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cstheme="minorBidi"/>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cstheme="minorBidi"/>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cstheme="minorBidi"/>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cstheme="minorBidi"/>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cstheme="minorBidi"/>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cstheme="minorBidi"/>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cstheme="minorBidi"/>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cstheme="minorBidi"/>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cstheme="minorBidi"/>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cstheme="minorBidi"/>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cstheme="minorBidi"/>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cstheme="minorBidi"/>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cstheme="minorBidi"/>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cstheme="minorBidi"/>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cstheme="minorBidi"/>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 w:type="table" w:customStyle="1" w:styleId="262">
    <w:name w:val="Table Normal1"/>
    <w:semiHidden/>
    <w:unhideWhenUsed/>
    <w:qFormat/>
    <w:uiPriority w:val="2"/>
    <w:pPr>
      <w:widowControl w:val="0"/>
      <w:autoSpaceDE w:val="0"/>
      <w:autoSpaceDN w:val="0"/>
    </w:pPr>
    <w:rPr>
      <w:rFonts w:cstheme="minorBidi"/>
      <w:sz w:val="22"/>
      <w:szCs w:val="22"/>
      <w:lang w:eastAsia="en-US"/>
    </w:rPr>
    <w:tblPr>
      <w:tblCellMar>
        <w:top w:w="0" w:type="dxa"/>
        <w:left w:w="0" w:type="dxa"/>
        <w:bottom w:w="0" w:type="dxa"/>
        <w:right w:w="0" w:type="dxa"/>
      </w:tblCellMar>
    </w:tblPr>
  </w:style>
  <w:style w:type="character" w:customStyle="1" w:styleId="263">
    <w:name w:val="highlight"/>
    <w:basedOn w:val="19"/>
    <w:qFormat/>
    <w:uiPriority w:val="0"/>
  </w:style>
  <w:style w:type="paragraph" w:customStyle="1" w:styleId="264">
    <w:name w:val="注："/>
    <w:next w:val="237"/>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23528"/>
    <w:rsid w:val="000472FF"/>
    <w:rsid w:val="000538BB"/>
    <w:rsid w:val="00074763"/>
    <w:rsid w:val="0008153B"/>
    <w:rsid w:val="000913D7"/>
    <w:rsid w:val="000F4FB5"/>
    <w:rsid w:val="0010154E"/>
    <w:rsid w:val="00107DCF"/>
    <w:rsid w:val="00134CD1"/>
    <w:rsid w:val="00150895"/>
    <w:rsid w:val="00185125"/>
    <w:rsid w:val="00194C1A"/>
    <w:rsid w:val="001F4A87"/>
    <w:rsid w:val="00200805"/>
    <w:rsid w:val="002051BC"/>
    <w:rsid w:val="00224746"/>
    <w:rsid w:val="00237224"/>
    <w:rsid w:val="00257A72"/>
    <w:rsid w:val="002D6AEB"/>
    <w:rsid w:val="002E326B"/>
    <w:rsid w:val="002E417D"/>
    <w:rsid w:val="002F5B4F"/>
    <w:rsid w:val="00306777"/>
    <w:rsid w:val="00343315"/>
    <w:rsid w:val="00363B07"/>
    <w:rsid w:val="003763D0"/>
    <w:rsid w:val="003834C7"/>
    <w:rsid w:val="003900A3"/>
    <w:rsid w:val="004557CA"/>
    <w:rsid w:val="004A45D2"/>
    <w:rsid w:val="004B0AC8"/>
    <w:rsid w:val="00522A98"/>
    <w:rsid w:val="0054743B"/>
    <w:rsid w:val="00555031"/>
    <w:rsid w:val="005A1742"/>
    <w:rsid w:val="005D0125"/>
    <w:rsid w:val="005E4E75"/>
    <w:rsid w:val="005F42E5"/>
    <w:rsid w:val="006025BA"/>
    <w:rsid w:val="00611A83"/>
    <w:rsid w:val="006241C9"/>
    <w:rsid w:val="006431E0"/>
    <w:rsid w:val="00650A60"/>
    <w:rsid w:val="00650D44"/>
    <w:rsid w:val="00665D0E"/>
    <w:rsid w:val="0066736D"/>
    <w:rsid w:val="006B2BEE"/>
    <w:rsid w:val="006B5EB0"/>
    <w:rsid w:val="006C4EFC"/>
    <w:rsid w:val="007179B7"/>
    <w:rsid w:val="007224B9"/>
    <w:rsid w:val="007A400F"/>
    <w:rsid w:val="007C3ADE"/>
    <w:rsid w:val="007E51B8"/>
    <w:rsid w:val="00862341"/>
    <w:rsid w:val="00864AD6"/>
    <w:rsid w:val="00867FC7"/>
    <w:rsid w:val="008C398A"/>
    <w:rsid w:val="008E4BA8"/>
    <w:rsid w:val="0091698F"/>
    <w:rsid w:val="0093340E"/>
    <w:rsid w:val="00940C30"/>
    <w:rsid w:val="0094711E"/>
    <w:rsid w:val="00964F21"/>
    <w:rsid w:val="009D4185"/>
    <w:rsid w:val="009E6439"/>
    <w:rsid w:val="00A73CE4"/>
    <w:rsid w:val="00A97312"/>
    <w:rsid w:val="00AC0FCD"/>
    <w:rsid w:val="00AE6AE7"/>
    <w:rsid w:val="00AF4572"/>
    <w:rsid w:val="00B57E51"/>
    <w:rsid w:val="00B65F49"/>
    <w:rsid w:val="00B815C8"/>
    <w:rsid w:val="00BB65A3"/>
    <w:rsid w:val="00C031C8"/>
    <w:rsid w:val="00C12865"/>
    <w:rsid w:val="00C52CA1"/>
    <w:rsid w:val="00CB5F86"/>
    <w:rsid w:val="00CC69AF"/>
    <w:rsid w:val="00CD72EB"/>
    <w:rsid w:val="00D022E4"/>
    <w:rsid w:val="00D26B26"/>
    <w:rsid w:val="00D31310"/>
    <w:rsid w:val="00D47D06"/>
    <w:rsid w:val="00D47D25"/>
    <w:rsid w:val="00D830D5"/>
    <w:rsid w:val="00D90313"/>
    <w:rsid w:val="00DB5AA2"/>
    <w:rsid w:val="00DC3AA1"/>
    <w:rsid w:val="00E9517D"/>
    <w:rsid w:val="00E97A6B"/>
    <w:rsid w:val="00EA44B2"/>
    <w:rsid w:val="00EA68E1"/>
    <w:rsid w:val="00EB63B8"/>
    <w:rsid w:val="00EC593C"/>
    <w:rsid w:val="00ED42FE"/>
    <w:rsid w:val="00EE7733"/>
    <w:rsid w:val="00EF5588"/>
    <w:rsid w:val="00F046D9"/>
    <w:rsid w:val="00F210F5"/>
    <w:rsid w:val="00F52C76"/>
    <w:rsid w:val="00F830F6"/>
    <w:rsid w:val="00F92DA9"/>
    <w:rsid w:val="00FA4E63"/>
    <w:rsid w:val="00FE4F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 w:type="paragraph" w:customStyle="1" w:styleId="7">
    <w:name w:val="3E2AA996440B412EA1496DE319E4265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464A9-4142-429E-A89A-54A01F436652}">
  <ds:schemaRefs/>
</ds:datastoreItem>
</file>

<file path=docProps/app.xml><?xml version="1.0" encoding="utf-8"?>
<Properties xmlns="http://schemas.openxmlformats.org/officeDocument/2006/extended-properties" xmlns:vt="http://schemas.openxmlformats.org/officeDocument/2006/docPropsVTypes">
  <Template>Template</Template>
  <Pages>13</Pages>
  <Words>1245</Words>
  <Characters>7102</Characters>
  <Lines>59</Lines>
  <Paragraphs>16</Paragraphs>
  <TotalTime>3</TotalTime>
  <ScaleCrop>false</ScaleCrop>
  <LinksUpToDate>false</LinksUpToDate>
  <CharactersWithSpaces>8331</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陈超慧</dc:creator>
  <cp:lastModifiedBy>冬雪</cp:lastModifiedBy>
  <cp:lastPrinted>2025-06-16T08:39:00Z</cp:lastPrinted>
  <dcterms:modified xsi:type="dcterms:W3CDTF">2025-06-17T03:51:20Z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F0F6078FD9DC4AFF801BD186A81BFCA1</vt:lpwstr>
  </property>
</Properties>
</file>